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80AA" w14:textId="77777777" w:rsidR="009D5DC7" w:rsidRDefault="009D5DC7" w:rsidP="009D5DC7">
      <w:pPr>
        <w:jc w:val="both"/>
      </w:pPr>
      <w:r>
        <w:t>[예상][2][14.07-1]쟁의행위의 정당성 결여 판단 및 민사상 손해배상 책임의 주체와 책임 성질 검토</w:t>
      </w:r>
    </w:p>
    <w:p w14:paraId="1EF0EDF6" w14:textId="77777777" w:rsidR="009D5DC7" w:rsidRDefault="009D5DC7" w:rsidP="009D5DC7">
      <w:pPr>
        <w:jc w:val="both"/>
      </w:pPr>
    </w:p>
    <w:p w14:paraId="69065753" w14:textId="77777777" w:rsidR="009D5DC7" w:rsidRDefault="009D5DC7" w:rsidP="009D5DC7">
      <w:pPr>
        <w:jc w:val="both"/>
      </w:pPr>
      <w:r>
        <w:rPr>
          <w:rFonts w:hint="eastAsia"/>
        </w:rPr>
        <w:t>【문제</w:t>
      </w:r>
      <w:r>
        <w:t>14.7】</w:t>
      </w:r>
    </w:p>
    <w:p w14:paraId="447B92C5" w14:textId="77777777" w:rsidR="009D5DC7" w:rsidRDefault="009D5DC7" w:rsidP="009D5DC7">
      <w:pPr>
        <w:jc w:val="both"/>
      </w:pPr>
      <w:r>
        <w:t>&lt;사례&gt;</w:t>
      </w:r>
    </w:p>
    <w:p w14:paraId="3623412D" w14:textId="77777777" w:rsidR="009D5DC7" w:rsidRDefault="009D5DC7" w:rsidP="009D5DC7">
      <w:pPr>
        <w:jc w:val="both"/>
      </w:pPr>
      <w:r>
        <w:rPr>
          <w:rFonts w:hint="eastAsia"/>
        </w:rPr>
        <w:t>자동차</w:t>
      </w:r>
      <w:r>
        <w:t xml:space="preserve"> 부품 제조업체인 A사의 노동조합 B는 2024년 임금협상이 결렬되자 노동위원회 조정절차를 거치지 않은 채 전면 파업에 돌입하였다. 이 과정에서 B노동조합의 위원장 C와 간부들은 조합원들을 독려하며 사업장 내 주요 생산라인을 점거하였고, 이로 인해 A사는 10일간 공장 가동이 중단되어 막대한 영업손실과 고정비 지출 </w:t>
      </w:r>
      <w:r>
        <w:rPr>
          <w:rFonts w:hint="eastAsia"/>
        </w:rPr>
        <w:t>등의</w:t>
      </w:r>
      <w:r>
        <w:t xml:space="preserve"> 손해를 입었다. 파업 종료 후 A사는 B노동조합과 위원장 C, 그리고 파업에 단순히 가담한 조합원 D를 상대로 손해배상청구 소송을 제기하였다. A사는 파업으로 인한 총 손해액 10억 원에 대해 피고들이 공동불법행위자로서 연대하여 배상할 것을 주장하고 있다. 한편, 조합원 D는 본인은 노동조합의 지시에 따라 단순히 파업에 참여했을 뿐이므로 개별적인 배상책임이 없거나, 책임이 있더라도 위원장 C와 동일한 수준의 책임을 지는 것은 부당하다고 항변한다. </w:t>
      </w:r>
      <w:r>
        <w:rPr>
          <w:rFonts w:hint="eastAsia"/>
        </w:rPr>
        <w:t>또한</w:t>
      </w:r>
      <w:r>
        <w:t xml:space="preserve"> 노동조합 B는 이번 파업이 근로조건 개선을 위한 것이었으므로 불법성이 조각된다고 주장한다.</w:t>
      </w:r>
    </w:p>
    <w:p w14:paraId="618FC28E" w14:textId="77777777" w:rsidR="009D5DC7" w:rsidRDefault="009D5DC7" w:rsidP="009D5DC7">
      <w:pPr>
        <w:jc w:val="both"/>
      </w:pPr>
    </w:p>
    <w:p w14:paraId="7304DE97" w14:textId="77777777" w:rsidR="009D5DC7" w:rsidRDefault="009D5DC7" w:rsidP="009D5DC7">
      <w:pPr>
        <w:jc w:val="both"/>
      </w:pPr>
      <w:r>
        <w:t>(물음1) 사례에서의 쟁의행위가 정당성을 상실했는지 여부를 절차적</w:t>
      </w:r>
      <w:r>
        <w:rPr>
          <w:rFonts w:ascii="Noto Sans KR" w:eastAsia="Noto Sans KR" w:hAnsi="Noto Sans KR" w:cs="Noto Sans KR" w:hint="eastAsia"/>
        </w:rPr>
        <w:t>・</w:t>
      </w:r>
      <w:r>
        <w:rPr>
          <w:rFonts w:ascii="맑은 고딕" w:eastAsia="맑은 고딕" w:hAnsi="맑은 고딕" w:cs="맑은 고딕" w:hint="eastAsia"/>
        </w:rPr>
        <w:t>수단적</w:t>
      </w:r>
      <w:r>
        <w:t xml:space="preserve"> 측면에서 검토하고, 이로 인해 발생하는 민사상 손해배상책임의 주체 및 책임의 성질에 대하여 논하시오.(25점)</w:t>
      </w:r>
    </w:p>
    <w:p w14:paraId="45632D07" w14:textId="77777777" w:rsidR="009D5DC7" w:rsidRDefault="009D5DC7" w:rsidP="009D5DC7">
      <w:pPr>
        <w:jc w:val="both"/>
      </w:pPr>
    </w:p>
    <w:p w14:paraId="711B607B" w14:textId="1CDC2AD0" w:rsidR="009D5DC7" w:rsidRDefault="009D5DC7" w:rsidP="009D5DC7">
      <w:pPr>
        <w:jc w:val="both"/>
      </w:pPr>
    </w:p>
    <w:sectPr w:rsidR="009D5DC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C7"/>
    <w:rsid w:val="00000065"/>
    <w:rsid w:val="009D5D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6267A"/>
  <w15:chartTrackingRefBased/>
  <w15:docId w15:val="{679F6D9B-1115-441B-89D1-13491EEC0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D5D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D5D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D5DC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D5D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D5D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D5D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D5D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D5D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D5D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D5DC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D5DC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D5DC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D5DC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D5DC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D5DC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D5DC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D5DC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D5DC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D5DC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D5DC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D5D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D5DC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D5DC7"/>
    <w:pPr>
      <w:spacing w:before="160"/>
      <w:jc w:val="center"/>
    </w:pPr>
    <w:rPr>
      <w:i/>
      <w:iCs/>
      <w:color w:val="404040" w:themeColor="text1" w:themeTint="BF"/>
    </w:rPr>
  </w:style>
  <w:style w:type="character" w:customStyle="1" w:styleId="Char1">
    <w:name w:val="인용 Char"/>
    <w:basedOn w:val="a0"/>
    <w:link w:val="a5"/>
    <w:uiPriority w:val="29"/>
    <w:rsid w:val="009D5DC7"/>
    <w:rPr>
      <w:i/>
      <w:iCs/>
      <w:color w:val="404040" w:themeColor="text1" w:themeTint="BF"/>
    </w:rPr>
  </w:style>
  <w:style w:type="paragraph" w:styleId="a6">
    <w:name w:val="List Paragraph"/>
    <w:basedOn w:val="a"/>
    <w:uiPriority w:val="34"/>
    <w:qFormat/>
    <w:rsid w:val="009D5DC7"/>
    <w:pPr>
      <w:ind w:left="720"/>
      <w:contextualSpacing/>
    </w:pPr>
  </w:style>
  <w:style w:type="character" w:styleId="a7">
    <w:name w:val="Intense Emphasis"/>
    <w:basedOn w:val="a0"/>
    <w:uiPriority w:val="21"/>
    <w:qFormat/>
    <w:rsid w:val="009D5DC7"/>
    <w:rPr>
      <w:i/>
      <w:iCs/>
      <w:color w:val="0F4761" w:themeColor="accent1" w:themeShade="BF"/>
    </w:rPr>
  </w:style>
  <w:style w:type="paragraph" w:styleId="a8">
    <w:name w:val="Intense Quote"/>
    <w:basedOn w:val="a"/>
    <w:next w:val="a"/>
    <w:link w:val="Char2"/>
    <w:uiPriority w:val="30"/>
    <w:qFormat/>
    <w:rsid w:val="009D5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D5DC7"/>
    <w:rPr>
      <w:i/>
      <w:iCs/>
      <w:color w:val="0F4761" w:themeColor="accent1" w:themeShade="BF"/>
    </w:rPr>
  </w:style>
  <w:style w:type="character" w:styleId="a9">
    <w:name w:val="Intense Reference"/>
    <w:basedOn w:val="a0"/>
    <w:uiPriority w:val="32"/>
    <w:qFormat/>
    <w:rsid w:val="009D5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570</Characters>
  <Application>Microsoft Office Word</Application>
  <DocSecurity>0</DocSecurity>
  <Lines>4</Lines>
  <Paragraphs>1</Paragraphs>
  <ScaleCrop>false</ScaleCrop>
  <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