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E431" w14:textId="77777777" w:rsidR="00895C39" w:rsidRDefault="00895C39" w:rsidP="00895C39">
      <w:pPr>
        <w:jc w:val="both"/>
      </w:pPr>
      <w:r>
        <w:t>[기출][2010-2-2]해크만과 올덤의 직무특성모형</w:t>
      </w:r>
    </w:p>
    <w:p w14:paraId="27B0184C" w14:textId="77777777" w:rsidR="00895C39" w:rsidRDefault="00895C39" w:rsidP="00895C39">
      <w:pPr>
        <w:jc w:val="both"/>
      </w:pPr>
    </w:p>
    <w:p w14:paraId="29A0F60D" w14:textId="77777777" w:rsidR="00895C39" w:rsidRDefault="00895C39" w:rsidP="00895C39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1F0C0D6B" w14:textId="77777777" w:rsidR="00895C39" w:rsidRDefault="00895C39" w:rsidP="00895C39">
      <w:pPr>
        <w:jc w:val="both"/>
      </w:pPr>
    </w:p>
    <w:p w14:paraId="2C6B7A4B" w14:textId="77777777" w:rsidR="00895C39" w:rsidRDefault="00895C39" w:rsidP="00895C39">
      <w:pPr>
        <w:jc w:val="both"/>
      </w:pPr>
      <w:r>
        <w:t>(물음2) Hackman과 Oldham의 직무특성모형의 내용 및 비판 (25점)</w:t>
      </w:r>
    </w:p>
    <w:p w14:paraId="323F6078" w14:textId="77777777" w:rsidR="00895C39" w:rsidRDefault="00895C39" w:rsidP="00895C39">
      <w:pPr>
        <w:jc w:val="both"/>
      </w:pPr>
    </w:p>
    <w:p w14:paraId="4464B189" w14:textId="77777777" w:rsidR="00895C39" w:rsidRDefault="00895C39" w:rsidP="00895C39">
      <w:pPr>
        <w:jc w:val="both"/>
      </w:pPr>
    </w:p>
    <w:sectPr w:rsidR="00895C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39"/>
    <w:rsid w:val="00000065"/>
    <w:rsid w:val="0089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7A59"/>
  <w15:chartTrackingRefBased/>
  <w15:docId w15:val="{0147D42C-F8FB-4BE0-A9CC-4FAAF5C0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5C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5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5C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5C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5C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5C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5C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5C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5C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5C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5C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5C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5C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5C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5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5C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5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5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5C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5C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5C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5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5C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5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