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EDBC2" w14:textId="77777777" w:rsidR="00905EF9" w:rsidRDefault="00905EF9" w:rsidP="00905EF9">
      <w:pPr>
        <w:jc w:val="both"/>
      </w:pPr>
      <w:r>
        <w:t>[기출][2011-1]공동체 지향 문화와 지식정보화 사회</w:t>
      </w:r>
    </w:p>
    <w:p w14:paraId="4201A07B" w14:textId="77777777" w:rsidR="00905EF9" w:rsidRDefault="00905EF9" w:rsidP="00905EF9">
      <w:pPr>
        <w:jc w:val="both"/>
      </w:pPr>
    </w:p>
    <w:p w14:paraId="53766407" w14:textId="77777777" w:rsidR="00905EF9" w:rsidRDefault="00905EF9" w:rsidP="00905EF9">
      <w:pPr>
        <w:jc w:val="both"/>
      </w:pPr>
      <w:r>
        <w:rPr>
          <w:rFonts w:hint="eastAsia"/>
        </w:rPr>
        <w:t>【문제</w:t>
      </w:r>
      <w:r>
        <w:t>1】 인적자원관리의 확보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개발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평가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보상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유지</w:t>
      </w:r>
      <w:r>
        <w:t xml:space="preserve"> 관리 등 다섯 가지 기능별 영역에서 전통적 공동체 지향의 기업문화를 계승하고 지식정보화 사회에 대응할 수 있는 방안을 시스템적 관점에서 설계하시오. (50점)</w:t>
      </w:r>
    </w:p>
    <w:p w14:paraId="7FE8361C" w14:textId="77777777" w:rsidR="00905EF9" w:rsidRDefault="00905EF9" w:rsidP="00905EF9">
      <w:pPr>
        <w:jc w:val="both"/>
      </w:pPr>
    </w:p>
    <w:p w14:paraId="0A70BAA6" w14:textId="77777777" w:rsidR="00905EF9" w:rsidRDefault="00905EF9" w:rsidP="00905EF9">
      <w:pPr>
        <w:jc w:val="both"/>
      </w:pPr>
    </w:p>
    <w:sectPr w:rsidR="00905EF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EF9"/>
    <w:rsid w:val="00000065"/>
    <w:rsid w:val="0090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1C1BD"/>
  <w15:chartTrackingRefBased/>
  <w15:docId w15:val="{DAEB5D25-D577-4C72-863E-21F1FDBC9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05EF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05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05E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05EF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05EF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05EF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05EF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05EF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05EF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05EF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05EF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05EF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05E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05E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05E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05E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05E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05EF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05E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05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05E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05E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05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05EF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05EF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05EF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05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05EF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05E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