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ECD9" w14:textId="77777777" w:rsidR="006C3EA2" w:rsidRDefault="006C3EA2" w:rsidP="006C3EA2">
      <w:pPr>
        <w:jc w:val="both"/>
      </w:pPr>
      <w:r>
        <w:t>[기출][2012-3]전직지원서비스(효과, 한계)</w:t>
      </w:r>
    </w:p>
    <w:p w14:paraId="286BEF5D" w14:textId="77777777" w:rsidR="006C3EA2" w:rsidRDefault="006C3EA2" w:rsidP="006C3EA2">
      <w:pPr>
        <w:jc w:val="both"/>
      </w:pPr>
    </w:p>
    <w:p w14:paraId="4FCA94E8" w14:textId="77777777" w:rsidR="006C3EA2" w:rsidRDefault="006C3EA2" w:rsidP="006C3EA2">
      <w:pPr>
        <w:jc w:val="both"/>
      </w:pPr>
      <w:r>
        <w:rPr>
          <w:rFonts w:hint="eastAsia"/>
        </w:rPr>
        <w:t>【문제</w:t>
      </w:r>
      <w:r>
        <w:t>3】 전직지원서비스(outplacement services)의 효과와 한계에 대하여 설명하시오. (25점)</w:t>
      </w:r>
    </w:p>
    <w:p w14:paraId="29BF651E" w14:textId="77777777" w:rsidR="006C3EA2" w:rsidRDefault="006C3EA2" w:rsidP="006C3EA2">
      <w:pPr>
        <w:jc w:val="both"/>
      </w:pPr>
    </w:p>
    <w:p w14:paraId="2E970BC3" w14:textId="77777777" w:rsidR="006C3EA2" w:rsidRDefault="006C3EA2" w:rsidP="006C3EA2">
      <w:pPr>
        <w:jc w:val="both"/>
      </w:pPr>
    </w:p>
    <w:sectPr w:rsidR="006C3E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A2"/>
    <w:rsid w:val="00000065"/>
    <w:rsid w:val="006C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D008"/>
  <w15:chartTrackingRefBased/>
  <w15:docId w15:val="{54EEB468-F7DB-43D3-93FC-14AFB536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3E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3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3E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3E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3E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3E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3E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3E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3E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3E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3E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3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3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3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3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3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3E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3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3E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3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3E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3E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3E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3E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3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