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03CE" w14:textId="77777777" w:rsidR="006B5C6D" w:rsidRDefault="006B5C6D" w:rsidP="006B5C6D">
      <w:pPr>
        <w:jc w:val="both"/>
      </w:pPr>
      <w:r>
        <w:t>[기출][2018-1]과학적 관리론의 인적자원관리에 대한 기여, 과학적 관리론과 인간관계론의 비교</w:t>
      </w:r>
    </w:p>
    <w:p w14:paraId="73DAD6B7" w14:textId="77777777" w:rsidR="006B5C6D" w:rsidRDefault="006B5C6D" w:rsidP="006B5C6D">
      <w:pPr>
        <w:jc w:val="both"/>
      </w:pPr>
    </w:p>
    <w:p w14:paraId="2D6C255D" w14:textId="77777777" w:rsidR="006B5C6D" w:rsidRDefault="006B5C6D" w:rsidP="006B5C6D">
      <w:pPr>
        <w:jc w:val="both"/>
      </w:pPr>
      <w:r>
        <w:rPr>
          <w:rFonts w:hint="eastAsia"/>
        </w:rPr>
        <w:t>【문제</w:t>
      </w:r>
      <w:r>
        <w:t>1】 과학적 관리론이 직무설계, 선발과 훈련, 보상, 일선감독직무에 기여한 바를 논하고, 인간관계론을 과학적 관리론과 비교하여 호손연구(Hawthorne Study) 중심으로 논하시오. (50점)</w:t>
      </w:r>
    </w:p>
    <w:p w14:paraId="28E2366E" w14:textId="77777777" w:rsidR="006B5C6D" w:rsidRDefault="006B5C6D" w:rsidP="006B5C6D">
      <w:pPr>
        <w:jc w:val="both"/>
      </w:pPr>
    </w:p>
    <w:p w14:paraId="094EE50B" w14:textId="77777777" w:rsidR="006B5C6D" w:rsidRDefault="006B5C6D" w:rsidP="006B5C6D">
      <w:pPr>
        <w:jc w:val="both"/>
      </w:pPr>
    </w:p>
    <w:sectPr w:rsidR="006B5C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6D"/>
    <w:rsid w:val="00000065"/>
    <w:rsid w:val="006B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86E50"/>
  <w15:chartTrackingRefBased/>
  <w15:docId w15:val="{16EAD95B-1E3C-4B74-ACCC-B8BD9703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B5C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5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5C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5C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5C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5C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5C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5C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5C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B5C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B5C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B5C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B5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B5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B5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B5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B5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B5C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B5C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B5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5C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B5C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5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B5C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5C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5C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5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B5C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5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