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54DE" w:rsidRDefault="00FC54DE" w:rsidP="00FC54DE">
      <w:pPr>
        <w:jc w:val="both"/>
      </w:pPr>
      <w:r>
        <w:t>[기출][2010-1]거부처분 취소소송 인용판결 확정 후 피고 행정청의 재차 거부처분이 허용되는 구체적 예외 사유</w:t>
      </w:r>
    </w:p>
    <w:p w:rsidR="00FC54DE" w:rsidRDefault="00FC54DE" w:rsidP="00FC54DE">
      <w:pPr>
        <w:jc w:val="both"/>
      </w:pPr>
    </w:p>
    <w:p w:rsidR="00FC54DE" w:rsidRDefault="00FC54DE" w:rsidP="00FC54DE">
      <w:pPr>
        <w:jc w:val="both"/>
      </w:pPr>
      <w:r>
        <w:rPr>
          <w:rFonts w:hint="eastAsia"/>
        </w:rPr>
        <w:t>【문제</w:t>
      </w:r>
      <w:r>
        <w:t>1】 수익적 처분의 발령을 신청한 甲에 대하여 관할 행정청 A는 이를 거부하였다. 甲은 거부처분취소소송을 제기하여 인용판결을 받았고, A의 항소 포기로 동 판결은 확정되었다. 위 확정판결에도 불구하고 A가 재차 거부처분을 할 수 있는 경우들을 논하시오. (50점)</w:t>
      </w:r>
    </w:p>
    <w:p w:rsidR="00FC54DE" w:rsidRDefault="00FC54DE" w:rsidP="00FC54DE">
      <w:pPr>
        <w:jc w:val="both"/>
      </w:pPr>
    </w:p>
    <w:p w:rsidR="00FC54DE" w:rsidRDefault="00FC54DE" w:rsidP="00FC54DE">
      <w:pPr>
        <w:jc w:val="both"/>
      </w:pPr>
    </w:p>
    <w:sectPr w:rsidR="00FC54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DE"/>
    <w:rsid w:val="008E6F57"/>
    <w:rsid w:val="00FC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07B14-26E8-4D15-93FE-C6C05AA04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54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54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54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54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54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54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54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54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54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54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54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54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54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54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54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54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54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54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54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54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54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54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54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54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5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