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8993" w14:textId="77777777" w:rsidR="00522415" w:rsidRDefault="00522415" w:rsidP="00522415">
      <w:pPr>
        <w:jc w:val="both"/>
      </w:pPr>
      <w:r>
        <w:t>[기출][2010-2]하자있는 거부처분에 대한 행정심판법상 청구 및 재결의 실효성 확보수단 검토</w:t>
      </w:r>
    </w:p>
    <w:p w14:paraId="4AEC89B1" w14:textId="77777777" w:rsidR="00522415" w:rsidRDefault="00522415" w:rsidP="00522415">
      <w:pPr>
        <w:jc w:val="both"/>
      </w:pPr>
    </w:p>
    <w:p w14:paraId="6F6B3B77" w14:textId="77777777" w:rsidR="00522415" w:rsidRDefault="00522415" w:rsidP="00522415">
      <w:pPr>
        <w:jc w:val="both"/>
      </w:pPr>
      <w:r>
        <w:rPr>
          <w:rFonts w:hint="eastAsia"/>
        </w:rPr>
        <w:t>【문제</w:t>
      </w:r>
      <w:r>
        <w:t>2】 하자있는 거부처분에 대한 행정심판법상의 권리구제수단에 관하여 설명하시오(단, 집행정지 및 임시처분은 제외함). (25점)</w:t>
      </w:r>
    </w:p>
    <w:p w14:paraId="7FD54135" w14:textId="77777777" w:rsidR="00522415" w:rsidRDefault="00522415" w:rsidP="00522415">
      <w:pPr>
        <w:jc w:val="both"/>
      </w:pPr>
    </w:p>
    <w:p w14:paraId="33338D8F" w14:textId="77777777" w:rsidR="00522415" w:rsidRDefault="00522415" w:rsidP="00522415">
      <w:pPr>
        <w:jc w:val="both"/>
      </w:pPr>
    </w:p>
    <w:sectPr w:rsidR="005224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15"/>
    <w:rsid w:val="00522415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E65A"/>
  <w15:chartTrackingRefBased/>
  <w15:docId w15:val="{291A13C5-4C7A-478A-AAB1-7D37AB6F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24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24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24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24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24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24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24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24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24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24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24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24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24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24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24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24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24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24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24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24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24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24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24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2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24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2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