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45A" w:rsidRDefault="000A145A" w:rsidP="000A145A">
      <w:pPr>
        <w:jc w:val="both"/>
      </w:pPr>
      <w:r>
        <w:t>[기출][2011-2]입찰참가자격 제한 처분의 취소소송 중 뇌물수수 사유 추가의 허용 여부</w:t>
      </w:r>
    </w:p>
    <w:p w:rsidR="000A145A" w:rsidRDefault="000A145A" w:rsidP="000A145A">
      <w:pPr>
        <w:jc w:val="both"/>
      </w:pPr>
    </w:p>
    <w:p w:rsidR="000A145A" w:rsidRDefault="000A145A" w:rsidP="000A145A">
      <w:pPr>
        <w:jc w:val="both"/>
      </w:pPr>
      <w:r>
        <w:rPr>
          <w:rFonts w:hint="eastAsia"/>
        </w:rPr>
        <w:t>【문제</w:t>
      </w:r>
      <w:r>
        <w:t>2】 甲은 정당한 이유 없이 계약을 이행하지 않았음을 이유로 입찰참가자격 제한처분을 받았다. 이에 대해 甲이 취소소송으로 다투던 중 처분청은 당초 처분사유 외에 위 계약 당시 관계 공무원에게 뇌물을 준 사실을 처분사유로 추가하였다. 처분청의 행위는 소송상 허용되는가? (25점)</w:t>
      </w:r>
    </w:p>
    <w:p w:rsidR="000A145A" w:rsidRDefault="000A145A" w:rsidP="000A145A">
      <w:pPr>
        <w:jc w:val="both"/>
      </w:pPr>
    </w:p>
    <w:p w:rsidR="000A145A" w:rsidRDefault="000A145A" w:rsidP="000A145A">
      <w:pPr>
        <w:jc w:val="both"/>
      </w:pPr>
    </w:p>
    <w:sectPr w:rsidR="000A145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5A"/>
    <w:rsid w:val="000A145A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67124-2F6C-48AA-B96B-C58A1C71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14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1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14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14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14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14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14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14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14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14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14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14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14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1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1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14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14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14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1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14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1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