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77E" w14:textId="77777777" w:rsidR="00BC6680" w:rsidRDefault="00BC6680" w:rsidP="00BC6680">
      <w:pPr>
        <w:jc w:val="both"/>
      </w:pPr>
      <w:r>
        <w:t>[기출][2012-3]지방노동위원회의 구제명령 등 처분에 대한 특별행정쟁송절차의 흐름과 요건</w:t>
      </w:r>
    </w:p>
    <w:p w14:paraId="1816F1DB" w14:textId="77777777" w:rsidR="00BC6680" w:rsidRDefault="00BC6680" w:rsidP="00BC6680">
      <w:pPr>
        <w:jc w:val="both"/>
      </w:pPr>
    </w:p>
    <w:p w14:paraId="43491EC6" w14:textId="77777777" w:rsidR="00BC6680" w:rsidRDefault="00BC6680" w:rsidP="00BC6680">
      <w:pPr>
        <w:jc w:val="both"/>
      </w:pPr>
      <w:r>
        <w:rPr>
          <w:rFonts w:hint="eastAsia"/>
        </w:rPr>
        <w:t>【문제</w:t>
      </w:r>
      <w:r>
        <w:t>3】 지방노동위원회의 처분(「근로기준법」 제30조에 따른 구제명령과 그에 준하는 것)에 대한 행정쟁송절차를 설명하시오(다툼이 있을 경우 판례에 따름). (25점)</w:t>
      </w:r>
    </w:p>
    <w:p w14:paraId="672E5EF4" w14:textId="77777777" w:rsidR="00BC6680" w:rsidRDefault="00BC6680" w:rsidP="00BC6680">
      <w:pPr>
        <w:jc w:val="both"/>
      </w:pPr>
    </w:p>
    <w:p w14:paraId="78FDAC5A" w14:textId="77777777" w:rsidR="00BC6680" w:rsidRDefault="00BC6680" w:rsidP="00BC6680">
      <w:pPr>
        <w:jc w:val="both"/>
      </w:pPr>
    </w:p>
    <w:sectPr w:rsidR="00BC66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80"/>
    <w:rsid w:val="008E6F57"/>
    <w:rsid w:val="00BC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D401"/>
  <w15:chartTrackingRefBased/>
  <w15:docId w15:val="{07493FE1-1E9D-4C34-8450-4F45F36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6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6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6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6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6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6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6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6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6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6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6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6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6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6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6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6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6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