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5867" w14:textId="77777777" w:rsidR="001858E8" w:rsidRDefault="001858E8" w:rsidP="001858E8">
      <w:pPr>
        <w:jc w:val="both"/>
      </w:pPr>
      <w:r>
        <w:t>[기출][2013-2]의무이행재결의 실효성 확보 방안 (행정심판법상), 취소판결의 실효성 확보 방안 (행정소송법상)</w:t>
      </w:r>
    </w:p>
    <w:p w14:paraId="65521366" w14:textId="77777777" w:rsidR="001858E8" w:rsidRDefault="001858E8" w:rsidP="001858E8">
      <w:pPr>
        <w:jc w:val="both"/>
      </w:pPr>
    </w:p>
    <w:p w14:paraId="18BF21CC" w14:textId="77777777" w:rsidR="001858E8" w:rsidRDefault="001858E8" w:rsidP="001858E8">
      <w:pPr>
        <w:jc w:val="both"/>
      </w:pPr>
      <w:r>
        <w:rPr>
          <w:rFonts w:hint="eastAsia"/>
        </w:rPr>
        <w:t>【문제</w:t>
      </w:r>
      <w:r>
        <w:t>2】 거부처분에 대한 의무이행재결 또는 취소판결이 확정되었음에도 불구하고 행정청이 그 재결 또는 판결의 취지에 따른 처분을 하지 아니 하는 경우, 당해 재결 또는 판결의 실효성 확보 방안에 관하여 서술하시오. (25점)</w:t>
      </w:r>
    </w:p>
    <w:p w14:paraId="77805E9B" w14:textId="77777777" w:rsidR="001858E8" w:rsidRDefault="001858E8" w:rsidP="001858E8">
      <w:pPr>
        <w:jc w:val="both"/>
      </w:pPr>
    </w:p>
    <w:p w14:paraId="12BA55CD" w14:textId="77777777" w:rsidR="001858E8" w:rsidRDefault="001858E8" w:rsidP="001858E8">
      <w:pPr>
        <w:jc w:val="both"/>
      </w:pPr>
    </w:p>
    <w:sectPr w:rsidR="001858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E8"/>
    <w:rsid w:val="001858E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ED4D"/>
  <w15:chartTrackingRefBased/>
  <w15:docId w15:val="{94ED15BF-9770-485B-AC1A-8C146DBB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8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58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8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8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8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8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8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8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8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58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58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8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8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8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8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8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8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8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8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8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58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58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8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8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