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536E8" w14:textId="77777777" w:rsidR="002110A8" w:rsidRDefault="002110A8" w:rsidP="002110A8">
      <w:pPr>
        <w:jc w:val="both"/>
      </w:pPr>
      <w:r>
        <w:t>[기출][2014-2]부작위위법확인소송에서의 부작위의 의의 및 성립요건</w:t>
      </w:r>
    </w:p>
    <w:p w14:paraId="2DE3A478" w14:textId="77777777" w:rsidR="002110A8" w:rsidRDefault="002110A8" w:rsidP="002110A8">
      <w:pPr>
        <w:jc w:val="both"/>
      </w:pPr>
    </w:p>
    <w:p w14:paraId="79DA9E1E" w14:textId="77777777" w:rsidR="002110A8" w:rsidRDefault="002110A8" w:rsidP="002110A8">
      <w:pPr>
        <w:jc w:val="both"/>
      </w:pPr>
      <w:r>
        <w:rPr>
          <w:rFonts w:hint="eastAsia"/>
        </w:rPr>
        <w:t>【문제</w:t>
      </w:r>
      <w:r>
        <w:t>2】 부작위위법확인소송의 본안판단 요건으로서 부작위의 의의와 성립요건을 설명하시오. (25점)</w:t>
      </w:r>
    </w:p>
    <w:p w14:paraId="7FDF5930" w14:textId="77777777" w:rsidR="002110A8" w:rsidRDefault="002110A8" w:rsidP="002110A8">
      <w:pPr>
        <w:jc w:val="both"/>
      </w:pPr>
    </w:p>
    <w:p w14:paraId="22BB2A46" w14:textId="52F0EDCB" w:rsidR="002110A8" w:rsidRDefault="002110A8" w:rsidP="002110A8">
      <w:pPr>
        <w:jc w:val="both"/>
      </w:pPr>
    </w:p>
    <w:sectPr w:rsidR="002110A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0A8"/>
    <w:rsid w:val="002110A8"/>
    <w:rsid w:val="008E6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44341"/>
  <w15:chartTrackingRefBased/>
  <w15:docId w15:val="{4D7EC2A8-620A-416A-B413-E14BAABBA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110A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110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110A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110A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110A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110A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110A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110A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110A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110A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110A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110A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110A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110A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110A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110A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110A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110A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110A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110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110A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110A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110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110A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110A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110A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110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110A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110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85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2026-06-08T10:46:00Z</dcterms:created>
  <dcterms:modified xsi:type="dcterms:W3CDTF">2026-06-08T10:46:00Z</dcterms:modified>
</cp:coreProperties>
</file>