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2489" w14:textId="77777777" w:rsidR="000C35D1" w:rsidRDefault="000C35D1" w:rsidP="000C35D1">
      <w:pPr>
        <w:jc w:val="both"/>
      </w:pPr>
      <w:r>
        <w:t>[기출][2014-3]이행재결의 기속력 확보수단으로서의 직접처분</w:t>
      </w:r>
    </w:p>
    <w:p w14:paraId="63AA7083" w14:textId="77777777" w:rsidR="000C35D1" w:rsidRDefault="000C35D1" w:rsidP="000C35D1">
      <w:pPr>
        <w:jc w:val="both"/>
      </w:pPr>
    </w:p>
    <w:p w14:paraId="1CAB3C24" w14:textId="77777777" w:rsidR="000C35D1" w:rsidRDefault="000C35D1" w:rsidP="000C35D1">
      <w:pPr>
        <w:jc w:val="both"/>
      </w:pPr>
      <w:r>
        <w:rPr>
          <w:rFonts w:hint="eastAsia"/>
        </w:rPr>
        <w:t>【문제</w:t>
      </w:r>
      <w:r>
        <w:t>3】 이행재결의 기속력 확보수단으로서의 직접처분을 설명하시오. (25점)</w:t>
      </w:r>
    </w:p>
    <w:p w14:paraId="702EEFCA" w14:textId="77777777" w:rsidR="000C35D1" w:rsidRDefault="000C35D1" w:rsidP="000C35D1">
      <w:pPr>
        <w:jc w:val="both"/>
      </w:pPr>
    </w:p>
    <w:p w14:paraId="53B219DC" w14:textId="77777777" w:rsidR="000C35D1" w:rsidRDefault="000C35D1" w:rsidP="000C35D1">
      <w:pPr>
        <w:jc w:val="both"/>
      </w:pPr>
    </w:p>
    <w:sectPr w:rsidR="000C35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D1"/>
    <w:rsid w:val="000C35D1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8604"/>
  <w15:chartTrackingRefBased/>
  <w15:docId w15:val="{5C08484B-2E30-4A63-B405-3343AFF3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35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35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35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35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35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35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35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35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35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35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35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35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35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35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35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35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35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35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35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35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35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35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35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35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