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1AEA" w14:textId="77777777" w:rsidR="005E2673" w:rsidRDefault="005E2673" w:rsidP="005E2673">
      <w:pPr>
        <w:jc w:val="both"/>
      </w:pPr>
      <w:r>
        <w:t>[기출][2015-3]항고소송의 사정판결의 의의, 취지, 요건, 효과</w:t>
      </w:r>
    </w:p>
    <w:p w14:paraId="2EBC3D3A" w14:textId="77777777" w:rsidR="005E2673" w:rsidRDefault="005E2673" w:rsidP="005E2673">
      <w:pPr>
        <w:jc w:val="both"/>
      </w:pPr>
    </w:p>
    <w:p w14:paraId="0685B915" w14:textId="77777777" w:rsidR="005E2673" w:rsidRDefault="005E2673" w:rsidP="005E2673">
      <w:pPr>
        <w:jc w:val="both"/>
      </w:pPr>
      <w:r>
        <w:rPr>
          <w:rFonts w:hint="eastAsia"/>
        </w:rPr>
        <w:t>【문제</w:t>
      </w:r>
      <w:r>
        <w:t>3】 항고소송에 있어서의 사정판결에 관하여 설명하시오. (25점)</w:t>
      </w:r>
    </w:p>
    <w:p w14:paraId="531A1A64" w14:textId="77777777" w:rsidR="005E2673" w:rsidRDefault="005E2673" w:rsidP="005E2673">
      <w:pPr>
        <w:jc w:val="both"/>
      </w:pPr>
    </w:p>
    <w:p w14:paraId="2B735E46" w14:textId="77777777" w:rsidR="005E2673" w:rsidRDefault="005E2673" w:rsidP="005E2673">
      <w:pPr>
        <w:jc w:val="both"/>
      </w:pPr>
    </w:p>
    <w:sectPr w:rsidR="005E26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73"/>
    <w:rsid w:val="005E2673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A23F"/>
  <w15:chartTrackingRefBased/>
  <w15:docId w15:val="{9887693C-B6C6-4DAD-A81F-BA83B781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E26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E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E26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E26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E26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E26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E26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E26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E26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E26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E26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E26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E2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E2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E2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E2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E26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E26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E26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E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E26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E26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E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E26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E26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E26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E2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E26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E2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