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33AA7" w:rsidRDefault="00733AA7" w:rsidP="00733AA7">
      <w:pPr>
        <w:jc w:val="both"/>
      </w:pPr>
      <w:r>
        <w:t>[기출][2016-1-2]중앙노동위원회의 일부인용 재심판정에 대하여 사용자가 제기하는 취소소송의 대상</w:t>
      </w:r>
    </w:p>
    <w:p w:rsidR="00733AA7" w:rsidRDefault="00733AA7" w:rsidP="00733AA7">
      <w:pPr>
        <w:jc w:val="both"/>
      </w:pPr>
    </w:p>
    <w:p w:rsidR="00733AA7" w:rsidRDefault="00733AA7" w:rsidP="00733AA7">
      <w:pPr>
        <w:jc w:val="both"/>
      </w:pPr>
      <w:r>
        <w:rPr>
          <w:rFonts w:hint="eastAsia"/>
        </w:rPr>
        <w:t>【문제</w:t>
      </w:r>
      <w:r>
        <w:t>1】 다음 질문에 답하시오. (50점)</w:t>
      </w:r>
    </w:p>
    <w:p w:rsidR="00733AA7" w:rsidRDefault="00733AA7" w:rsidP="00733AA7">
      <w:pPr>
        <w:jc w:val="both"/>
      </w:pPr>
      <w:r>
        <w:t>(단, 행정쟁송법과 무관한 노동법적인 쟁점에 대해서는 서술하지 말 것.)</w:t>
      </w:r>
    </w:p>
    <w:p w:rsidR="00733AA7" w:rsidRDefault="00733AA7" w:rsidP="00733AA7">
      <w:pPr>
        <w:jc w:val="both"/>
      </w:pPr>
    </w:p>
    <w:p w:rsidR="00733AA7" w:rsidRDefault="00733AA7" w:rsidP="00733AA7">
      <w:pPr>
        <w:jc w:val="both"/>
      </w:pPr>
      <w:r>
        <w:t xml:space="preserve">(물음2) 취소소송의 인용판결 확정으로 A회사 노동조합은 적법하게 설립신고를 완료하였다. 이후 A회사 사용자는 임금인상을 요구하는 근로자 丙에 대하여 업무정지를 명하고, 수일 후에 해고를 명하였다. A회사 노동조합은 이에 대해 관할 </w:t>
      </w:r>
      <w:r>
        <w:rPr>
          <w:rFonts w:hint="eastAsia"/>
        </w:rPr>
        <w:t>지방노동위원회에</w:t>
      </w:r>
      <w:r>
        <w:t xml:space="preserve"> 구제신청을 하였다. 관할 지방노동위원회는 A회사에게 "丙을 원직에 복직시키고 업무정지 및 해고기간 동안 정상적으로 근무하였다면 받을 수 있었던 임금상당액을 지급하라"는 구제명령을 내렸다. A회사는 丙에 대한 업무정지 및 해고는 정당하고 임금상당액도 지급할 의무가 없다는 취지로 중앙노동위원회에 재심을 신청하였다. 이에 대해 중앙노동위원회는 "해고는 부당노동행위에 해당하나 업무정지는 부당노동행위에 해당하지 않으며, A회사는 해고기간 동안의 </w:t>
      </w:r>
      <w:r>
        <w:rPr>
          <w:rFonts w:hint="eastAsia"/>
        </w:rPr>
        <w:t>임금상당액만을</w:t>
      </w:r>
      <w:r>
        <w:t xml:space="preserve"> 지급하라"는 재심판정을 하였다. 이 때 A회사가 취소소송을 제기하는 경우 취소소송의 대상은? (15점)</w:t>
      </w:r>
    </w:p>
    <w:p w:rsidR="00733AA7" w:rsidRDefault="00733AA7" w:rsidP="00733AA7">
      <w:pPr>
        <w:jc w:val="both"/>
      </w:pPr>
    </w:p>
    <w:p w:rsidR="00733AA7" w:rsidRDefault="00733AA7" w:rsidP="00733AA7">
      <w:pPr>
        <w:jc w:val="both"/>
      </w:pPr>
    </w:p>
    <w:sectPr w:rsidR="00733AA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AA7"/>
    <w:rsid w:val="00733AA7"/>
    <w:rsid w:val="008E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5B3695-C126-480A-A355-D97CEF370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33AA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33A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33A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33AA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33AA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33AA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33AA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33AA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33AA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33AA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33AA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33AA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33A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33A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33A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33A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33A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33AA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33AA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33A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33AA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33A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33A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33AA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33AA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33AA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33A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33AA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33A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2026-06-08T10:46:00Z</dcterms:created>
  <dcterms:modified xsi:type="dcterms:W3CDTF">2026-06-08T10:46:00Z</dcterms:modified>
</cp:coreProperties>
</file>