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7F03F" w14:textId="77777777" w:rsidR="00A2320C" w:rsidRDefault="00A2320C" w:rsidP="00A2320C">
      <w:pPr>
        <w:jc w:val="both"/>
      </w:pPr>
      <w:r>
        <w:t>[기출][2016-2]할인점 건축허가 거부처분 취소소송의 인용확정판결에 대한 인근 학교법인의 제3자 재심청구의 적법성 여부</w:t>
      </w:r>
    </w:p>
    <w:p w14:paraId="0A9886B8" w14:textId="77777777" w:rsidR="00A2320C" w:rsidRDefault="00A2320C" w:rsidP="00A2320C">
      <w:pPr>
        <w:jc w:val="both"/>
      </w:pPr>
    </w:p>
    <w:p w14:paraId="1874EE8E" w14:textId="77777777" w:rsidR="00A2320C" w:rsidRDefault="00A2320C" w:rsidP="00A2320C">
      <w:pPr>
        <w:jc w:val="both"/>
      </w:pPr>
      <w:r>
        <w:rPr>
          <w:rFonts w:hint="eastAsia"/>
        </w:rPr>
        <w:t>【문제</w:t>
      </w:r>
      <w:r>
        <w:t>2】 甲회사는 대형할인점 건물을 신축하기 위한 건축허가 신청을 하였다가 행정청으로부터 거부처분을 받자 그 거부처분의 취소를 구하는 소송을 제기하여 승소하고 그 판결이 확정되었다. 그 이후 甲회사의 대형할인점 건물부지 인근에서 고등학교를 운영하는 학교법인 乙이 위 판결에 대하여 재심을 청구하였다. 이 청구는 적법한가? (25점)</w:t>
      </w:r>
    </w:p>
    <w:p w14:paraId="58F0696B" w14:textId="77777777" w:rsidR="00A2320C" w:rsidRDefault="00A2320C" w:rsidP="00A2320C">
      <w:pPr>
        <w:jc w:val="both"/>
      </w:pPr>
    </w:p>
    <w:p w14:paraId="1A0911AE" w14:textId="77777777" w:rsidR="00A2320C" w:rsidRDefault="00A2320C" w:rsidP="00A2320C">
      <w:pPr>
        <w:jc w:val="both"/>
      </w:pPr>
    </w:p>
    <w:sectPr w:rsidR="00A2320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0C"/>
    <w:rsid w:val="008E6F57"/>
    <w:rsid w:val="00A23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EF892"/>
  <w15:chartTrackingRefBased/>
  <w15:docId w15:val="{E2F213F6-6083-410B-93F6-908677DA5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2320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23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232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2320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2320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2320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2320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2320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2320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2320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2320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2320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232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232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232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232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232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2320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232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2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232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232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23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2320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2320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2320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2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2320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23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