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AC9" w14:textId="77777777" w:rsidR="00675A98" w:rsidRDefault="00675A98" w:rsidP="00675A98">
      <w:pPr>
        <w:jc w:val="both"/>
      </w:pPr>
      <w:r>
        <w:t>[기출][2016-3]제3자효 행정행위의 취소소송에서 제3자의 원고적격 인정 범위와 유형별 판단 기준</w:t>
      </w:r>
    </w:p>
    <w:p w14:paraId="5A0127AC" w14:textId="77777777" w:rsidR="00675A98" w:rsidRDefault="00675A98" w:rsidP="00675A98">
      <w:pPr>
        <w:jc w:val="both"/>
      </w:pPr>
    </w:p>
    <w:p w14:paraId="795BC57A" w14:textId="77777777" w:rsidR="00675A98" w:rsidRDefault="00675A98" w:rsidP="00675A98">
      <w:pPr>
        <w:jc w:val="both"/>
      </w:pPr>
      <w:r>
        <w:rPr>
          <w:rFonts w:hint="eastAsia"/>
        </w:rPr>
        <w:t>【문제</w:t>
      </w:r>
      <w:r>
        <w:t>3】 취소소송에서 원고적격의 확대와 관련하여 이른바 제3자효 행정행위의 원고적격에 대해 설명하시오. (25점)</w:t>
      </w:r>
    </w:p>
    <w:p w14:paraId="50B3CAE9" w14:textId="77777777" w:rsidR="00675A98" w:rsidRDefault="00675A98" w:rsidP="00675A98">
      <w:pPr>
        <w:jc w:val="both"/>
      </w:pPr>
    </w:p>
    <w:p w14:paraId="1C7C3493" w14:textId="77777777" w:rsidR="00675A98" w:rsidRDefault="00675A98" w:rsidP="00675A98">
      <w:pPr>
        <w:jc w:val="both"/>
      </w:pPr>
    </w:p>
    <w:sectPr w:rsidR="00675A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98"/>
    <w:rsid w:val="00675A9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971F"/>
  <w15:chartTrackingRefBased/>
  <w15:docId w15:val="{A5755668-1C34-41DC-8052-CCB2B9DC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5A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5A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5A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5A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5A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5A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5A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5A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5A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5A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5A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5A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5A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5A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5A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5A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5A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5A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5A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