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A43" w:rsidRDefault="003E5A43" w:rsidP="003E5A43">
      <w:pPr>
        <w:jc w:val="both"/>
      </w:pPr>
      <w:r>
        <w:t>[기출][2017-1-1]감액변경처분에 대한 취소소송의 대상적격과 부적법한 행정심판을 거친 경우의 제소기간 준수 여부</w:t>
      </w:r>
    </w:p>
    <w:p w:rsidR="003E5A43" w:rsidRDefault="003E5A43" w:rsidP="003E5A43">
      <w:pPr>
        <w:jc w:val="both"/>
      </w:pPr>
    </w:p>
    <w:p w:rsidR="003E5A43" w:rsidRDefault="003E5A43" w:rsidP="003E5A43">
      <w:pPr>
        <w:jc w:val="both"/>
      </w:pPr>
      <w:r>
        <w:rPr>
          <w:rFonts w:hint="eastAsia"/>
        </w:rPr>
        <w:t>【문제</w:t>
      </w:r>
      <w:r>
        <w:t>1】 건설회사에 근무하는 甲은 건설현장 불법행위 단속을 나온 공무원 乙의 중과실로 인하여 공사현장에서 업무 중 골절 등 산재사고로 인한 상해를 입었고, 이를 이유로 2014년 2월 근로복지공단으로부터 휴업급여와 장해급여 등을 지급받았다. 그런데 이후 甲이 회사가 가입하고 있던 보험회사로부터 별도로 장해보상금을 지급받자 근로복지공단</w:t>
      </w:r>
      <w:r>
        <w:rPr>
          <w:rFonts w:hint="eastAsia"/>
        </w:rPr>
        <w:t>은</w:t>
      </w:r>
      <w:r>
        <w:t xml:space="preserve"> 甲이 이중으로 보상받았음을 이유로 2016년 3월경 이미 지급된 급여의 일부에 대한 징수결정을 하고 이를 甲에게 고지하였다. 그러나 甲이 이 같은 징수결정에 대해서 민원을 제기하자 2016년 11월경 당초의 징수결정 금액의 일부를 감액하는 처분을 하였는데, 그 처분 고지서에는 "이의가 있는 경우 행정심판법 제27조의 규정에 의한 기간 내에 행정심판을 청구하거나 행정소송법 제20조의 규정에 의한 기간 내에 행정소송을 제기할 수 있습니다."라고 기재되어 있었다. </w:t>
      </w:r>
    </w:p>
    <w:p w:rsidR="003E5A43" w:rsidRDefault="003E5A43" w:rsidP="003E5A43">
      <w:pPr>
        <w:jc w:val="both"/>
      </w:pPr>
      <w:r>
        <w:rPr>
          <w:rFonts w:hint="eastAsia"/>
        </w:rPr>
        <w:t>한편</w:t>
      </w:r>
      <w:r>
        <w:t xml:space="preserve"> 공무원 乙은 공직기강확립 감찰기간 중 중과실로 甲에 대한 산재사고를 야기하였음을 이유로 해임처분을 받자 이에 대해서 소청심사를 거쳐 취소소송을 제기하였다. 다음 물음에 답하시오. (50점)</w:t>
      </w:r>
    </w:p>
    <w:p w:rsidR="003E5A43" w:rsidRDefault="003E5A43" w:rsidP="003E5A43">
      <w:pPr>
        <w:jc w:val="both"/>
      </w:pPr>
    </w:p>
    <w:p w:rsidR="003E5A43" w:rsidRDefault="003E5A43" w:rsidP="003E5A43">
      <w:pPr>
        <w:jc w:val="both"/>
      </w:pPr>
      <w:r>
        <w:t>(물음1) 甲은 감액처분에 불복하여 행정심판을 청구하였고 각하재결을 받은 후 재결서를 송달받은 즉시 2017년 5월 경 근로복지공단을 상대로 위 감액처분의 취소를 구하는 행정소송을 제기하였다. 이 경우 당해 취소소송의 적법 여부를 검토하시오. (25점)</w:t>
      </w:r>
    </w:p>
    <w:p w:rsidR="003E5A43" w:rsidRDefault="003E5A43" w:rsidP="003E5A43">
      <w:pPr>
        <w:jc w:val="both"/>
      </w:pPr>
    </w:p>
    <w:p w:rsidR="003E5A43" w:rsidRDefault="003E5A43" w:rsidP="003E5A43">
      <w:pPr>
        <w:jc w:val="both"/>
      </w:pPr>
    </w:p>
    <w:sectPr w:rsidR="003E5A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43"/>
    <w:rsid w:val="003E5A43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DE67C-FAFD-4312-9B5C-18A2AFC8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5A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5A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5A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5A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5A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5A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5A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5A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5A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5A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5A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5A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5A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5A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5A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5A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5A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5A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5A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5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