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6F0F" w14:textId="77777777" w:rsidR="00650645" w:rsidRDefault="00650645" w:rsidP="00650645">
      <w:pPr>
        <w:jc w:val="both"/>
      </w:pPr>
      <w:r>
        <w:t>[기출][2017-2]무효인 보험료부과처분에 대해 이미 납부한 보험료를 반환받기 위한 소송유형과 피고적격 검토</w:t>
      </w:r>
    </w:p>
    <w:p w14:paraId="7688A1E9" w14:textId="77777777" w:rsidR="00650645" w:rsidRDefault="00650645" w:rsidP="00650645">
      <w:pPr>
        <w:jc w:val="both"/>
      </w:pPr>
    </w:p>
    <w:p w14:paraId="7EEB442A" w14:textId="77777777" w:rsidR="00650645" w:rsidRDefault="00650645" w:rsidP="00650645">
      <w:pPr>
        <w:jc w:val="both"/>
      </w:pPr>
      <w:r>
        <w:rPr>
          <w:rFonts w:hint="eastAsia"/>
        </w:rPr>
        <w:t>【문제</w:t>
      </w:r>
      <w:r>
        <w:t>2】 국민건강보험공단은 甲에게 보험료부과처분을 하였고, 甲은 별도의 검토 없이 이를 납부하였다. 그러나 甲은 이후 당해 보험료부과처분이 무효임을 알게 되었다. 甲이 이미 납부한 보험료를 돌려받기 위하여 제기할 수 있는 소송의 종류에 대하여 설명하시오. (25점)</w:t>
      </w:r>
    </w:p>
    <w:p w14:paraId="5F7A62DB" w14:textId="77777777" w:rsidR="00650645" w:rsidRDefault="00650645" w:rsidP="00650645">
      <w:pPr>
        <w:jc w:val="both"/>
      </w:pPr>
    </w:p>
    <w:p w14:paraId="2EAE0DE9" w14:textId="22A2ED68" w:rsidR="00650645" w:rsidRDefault="00650645" w:rsidP="00650645">
      <w:pPr>
        <w:jc w:val="both"/>
      </w:pPr>
    </w:p>
    <w:sectPr w:rsidR="006506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45"/>
    <w:rsid w:val="00650645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28538"/>
  <w15:chartTrackingRefBased/>
  <w15:docId w15:val="{ED787230-0E41-46B6-9302-BC9E0D962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506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50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506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06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06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06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06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06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06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06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506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506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50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50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50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50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50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506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506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50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06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506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0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506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06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064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0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5064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50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