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900A" w14:textId="77777777" w:rsidR="00BD6BEC" w:rsidRDefault="00BD6BEC" w:rsidP="00BD6BEC">
      <w:pPr>
        <w:jc w:val="both"/>
      </w:pPr>
      <w:r>
        <w:t>[기출][2018-2]공사중지명령의 무효확인을 구하는 소송에서 심리 결과 취소사유만 인정되는 경우 법원의 판단</w:t>
      </w:r>
    </w:p>
    <w:p w14:paraId="4EFD9504" w14:textId="77777777" w:rsidR="00BD6BEC" w:rsidRDefault="00BD6BEC" w:rsidP="00BD6BEC">
      <w:pPr>
        <w:jc w:val="both"/>
      </w:pPr>
    </w:p>
    <w:p w14:paraId="714A9BEF" w14:textId="77777777" w:rsidR="00BD6BEC" w:rsidRDefault="00BD6BEC" w:rsidP="00BD6BEC">
      <w:pPr>
        <w:jc w:val="both"/>
      </w:pPr>
      <w:r>
        <w:rPr>
          <w:rFonts w:hint="eastAsia"/>
        </w:rPr>
        <w:t>【문제</w:t>
      </w:r>
      <w:r>
        <w:t>2】 건축사업자 甲은 X시장으로부터 건축허가를 받아 건물의 신축공사를 진행하던 중 건축법령상의 의무위반을 이유로 X시장으로부터 공사중지명령을 받았다. 甲은 해당 법령의무위반을 하지 않았다고 판단하고, 공사중지명령처분은 위법하다고 주장하며 공사중지명령처분의 무효확인소송을 제기하였다. 법원은 사건의 심리결과 해당 처분에 "중대한" 위법이 있</w:t>
      </w:r>
      <w:r>
        <w:rPr>
          <w:rFonts w:hint="eastAsia"/>
        </w:rPr>
        <w:t>음이</w:t>
      </w:r>
      <w:r>
        <w:t xml:space="preserve"> 인정되지만 "명백한" 위법은 아닌 것으로 판단하였다. 법원은 어떠한 판단을 내려야 하는지 설명하시오. (25점)</w:t>
      </w:r>
    </w:p>
    <w:p w14:paraId="564D05BA" w14:textId="77777777" w:rsidR="00BD6BEC" w:rsidRDefault="00BD6BEC" w:rsidP="00BD6BEC">
      <w:pPr>
        <w:jc w:val="both"/>
      </w:pPr>
    </w:p>
    <w:p w14:paraId="63E18B9B" w14:textId="77777777" w:rsidR="00BD6BEC" w:rsidRDefault="00BD6BEC" w:rsidP="00BD6BEC">
      <w:pPr>
        <w:jc w:val="both"/>
      </w:pPr>
    </w:p>
    <w:sectPr w:rsidR="00BD6B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EC"/>
    <w:rsid w:val="008E6F57"/>
    <w:rsid w:val="00BD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BDCA"/>
  <w15:chartTrackingRefBased/>
  <w15:docId w15:val="{5D868C1A-BB35-484D-8F90-C9DAE60C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B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6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6B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6B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6B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6B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6B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6B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6B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6B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6B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6B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6B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6B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6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6B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6B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6B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6B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6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