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13E7" w14:textId="77777777" w:rsidR="00222295" w:rsidRDefault="00222295" w:rsidP="00222295">
      <w:pPr>
        <w:jc w:val="both"/>
      </w:pPr>
      <w:r>
        <w:t>[기출][2018-3]영업정지처분 취소소송과 그 처분으로 인한 영업 손해에 대한 국가배상청구소송의 병합 적법 여부</w:t>
      </w:r>
    </w:p>
    <w:p w14:paraId="67105E2D" w14:textId="77777777" w:rsidR="00222295" w:rsidRDefault="00222295" w:rsidP="00222295">
      <w:pPr>
        <w:jc w:val="both"/>
      </w:pPr>
    </w:p>
    <w:p w14:paraId="579AC28A" w14:textId="77777777" w:rsidR="00222295" w:rsidRDefault="00222295" w:rsidP="00222295">
      <w:pPr>
        <w:jc w:val="both"/>
      </w:pPr>
      <w:r>
        <w:rPr>
          <w:rFonts w:hint="eastAsia"/>
        </w:rPr>
        <w:t>【문제</w:t>
      </w:r>
      <w:r>
        <w:t>3】 사업자 甲은 위법을 이유로 행정청으로부터 2개월 영업정지처분을 받았다. 이에 대한 甲의 처분취소소송과 그 처분으로 인한 영업 손해에 대한 국가배상청구소송이 병합될 수 있는지 설명하시오. (25점)</w:t>
      </w:r>
    </w:p>
    <w:p w14:paraId="3848FD94" w14:textId="77777777" w:rsidR="00222295" w:rsidRDefault="00222295" w:rsidP="00222295">
      <w:pPr>
        <w:jc w:val="both"/>
      </w:pPr>
    </w:p>
    <w:p w14:paraId="579A5AD4" w14:textId="672602DE" w:rsidR="00222295" w:rsidRDefault="00222295" w:rsidP="00222295">
      <w:pPr>
        <w:jc w:val="both"/>
      </w:pPr>
    </w:p>
    <w:sectPr w:rsidR="002222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95"/>
    <w:rsid w:val="0022229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2198"/>
  <w15:chartTrackingRefBased/>
  <w15:docId w15:val="{A1942E0E-01F4-48D0-81AB-D41829A2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22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22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22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22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22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22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22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22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22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222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222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22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22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22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22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22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22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22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22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22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22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22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22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22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2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