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5A6D" w:rsidRDefault="00E55A6D" w:rsidP="00E55A6D">
      <w:pPr>
        <w:jc w:val="both"/>
      </w:pPr>
      <w:r>
        <w:t>[기출][2019-3]납세의무부존재확인소송의 법적 성질 및 소송법상 특징에 관한 검토</w:t>
      </w:r>
    </w:p>
    <w:p w:rsidR="00E55A6D" w:rsidRDefault="00E55A6D" w:rsidP="00E55A6D">
      <w:pPr>
        <w:jc w:val="both"/>
      </w:pPr>
    </w:p>
    <w:p w:rsidR="00E55A6D" w:rsidRDefault="00E55A6D" w:rsidP="00E55A6D">
      <w:pPr>
        <w:jc w:val="both"/>
      </w:pPr>
      <w:r>
        <w:rPr>
          <w:rFonts w:hint="eastAsia"/>
        </w:rPr>
        <w:t>【문제</w:t>
      </w:r>
      <w:r>
        <w:t>3】 甲은 부동산의 취득으로 인한 취득세 및 농어촌특별세의 납세의무부존재확인소송을 제기하려고 한다. 이러한 납세의무부존재확인소송의 법적 성질에 관하여 설명하시오. (25점)</w:t>
      </w:r>
    </w:p>
    <w:p w:rsidR="00E55A6D" w:rsidRDefault="00E55A6D" w:rsidP="00E55A6D">
      <w:pPr>
        <w:jc w:val="both"/>
      </w:pPr>
    </w:p>
    <w:p w:rsidR="00E55A6D" w:rsidRDefault="00E55A6D" w:rsidP="00E55A6D">
      <w:pPr>
        <w:jc w:val="both"/>
      </w:pPr>
    </w:p>
    <w:sectPr w:rsidR="00E55A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6D"/>
    <w:rsid w:val="008E6F57"/>
    <w:rsid w:val="00E5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7734E3-991B-481A-A456-281E34BF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5A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5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5A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5A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5A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5A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5A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5A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5A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5A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5A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5A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5A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5A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5A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5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5A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5A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5A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5A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5A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5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5A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5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