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6BDE" w14:textId="77777777" w:rsidR="008523AF" w:rsidRDefault="008523AF" w:rsidP="008523AF">
      <w:pPr>
        <w:jc w:val="both"/>
      </w:pPr>
      <w:r>
        <w:t>[기출][2020-2]이의신청에 대한 행정청의 기각결정을 행정심판의 기각재결로 볼 수 있는지 여부</w:t>
      </w:r>
    </w:p>
    <w:p w14:paraId="0E16D22F" w14:textId="77777777" w:rsidR="008523AF" w:rsidRDefault="008523AF" w:rsidP="008523AF">
      <w:pPr>
        <w:jc w:val="both"/>
      </w:pPr>
    </w:p>
    <w:p w14:paraId="1C8A00D6" w14:textId="77777777" w:rsidR="008523AF" w:rsidRDefault="008523AF" w:rsidP="008523AF">
      <w:pPr>
        <w:jc w:val="both"/>
      </w:pPr>
      <w:r>
        <w:rPr>
          <w:rFonts w:hint="eastAsia"/>
        </w:rPr>
        <w:t>【문제</w:t>
      </w:r>
      <w:r>
        <w:t>2】 甲은 태양광발전시설을 설치하기 위해 관할 군수 乙에게 개발행위허가를 신청하였으나 乙은 산림훼손 우려가 있다는 이유로 거부처분을 하였다. 甲은 「민원처리에 관한 법률」 제35조에 따라 乙에게 이의신청을 하였다. 乙은 甲의 이의신청을 검토한 후 종전과 동일한 이유로 이의신청을 기각하는 결정을 하였다. 乙의 기각결정을 행정심판의 기각재결로 볼 수 있</w:t>
      </w:r>
      <w:r>
        <w:rPr>
          <w:rFonts w:hint="eastAsia"/>
        </w:rPr>
        <w:t>는지</w:t>
      </w:r>
      <w:r>
        <w:t xml:space="preserve"> 설명하시오. (25점)</w:t>
      </w:r>
    </w:p>
    <w:p w14:paraId="754ED694" w14:textId="77777777" w:rsidR="008523AF" w:rsidRDefault="008523AF" w:rsidP="008523AF">
      <w:pPr>
        <w:jc w:val="both"/>
      </w:pPr>
    </w:p>
    <w:p w14:paraId="6C8AF110" w14:textId="77777777" w:rsidR="008523AF" w:rsidRDefault="008523AF" w:rsidP="008523AF">
      <w:pPr>
        <w:jc w:val="both"/>
      </w:pPr>
      <w:r>
        <w:rPr>
          <w:rFonts w:hint="eastAsia"/>
        </w:rPr>
        <w:t>「민원처리에</w:t>
      </w:r>
      <w:r>
        <w:t xml:space="preserve"> 관한 법률 제35조」</w:t>
      </w:r>
    </w:p>
    <w:p w14:paraId="294ED20C" w14:textId="77777777" w:rsidR="008523AF" w:rsidRDefault="008523AF" w:rsidP="008523AF">
      <w:pPr>
        <w:jc w:val="both"/>
      </w:pPr>
      <w:r>
        <w:rPr>
          <w:rFonts w:hint="eastAsia"/>
        </w:rPr>
        <w:t>③</w:t>
      </w:r>
      <w:r>
        <w:t xml:space="preserve"> 민원인은 제1항에 따른 이의신청 여부와 관계없이 「행정심판법」에 따른 행정심판 또는 「행정소송법」에 따른 행정소송을 제기할 수 있다.</w:t>
      </w:r>
    </w:p>
    <w:p w14:paraId="4FDCEB1A" w14:textId="77777777" w:rsidR="008523AF" w:rsidRDefault="008523AF" w:rsidP="008523AF">
      <w:pPr>
        <w:jc w:val="both"/>
      </w:pPr>
    </w:p>
    <w:p w14:paraId="69342EFE" w14:textId="77777777" w:rsidR="008523AF" w:rsidRDefault="008523AF" w:rsidP="008523AF">
      <w:pPr>
        <w:jc w:val="both"/>
      </w:pPr>
    </w:p>
    <w:sectPr w:rsidR="008523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AF"/>
    <w:rsid w:val="008523AF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2273"/>
  <w15:chartTrackingRefBased/>
  <w15:docId w15:val="{782856FE-FC79-4EF8-9B23-AE332B26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23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2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23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3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3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3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3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3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23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23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23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23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23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3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2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23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3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3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23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2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