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A2B8" w14:textId="77777777" w:rsidR="00A04191" w:rsidRDefault="00A04191" w:rsidP="00A04191">
      <w:pPr>
        <w:jc w:val="both"/>
      </w:pPr>
      <w:r>
        <w:t>[기출][2021-1-3]무효확인소송 기각판결 확정 후 후속 국가배상청구소송에서 수소법원의 법령 위반 인정 여부</w:t>
      </w:r>
    </w:p>
    <w:p w14:paraId="29D0141C" w14:textId="77777777" w:rsidR="00A04191" w:rsidRDefault="00A04191" w:rsidP="00A04191">
      <w:pPr>
        <w:jc w:val="both"/>
      </w:pPr>
    </w:p>
    <w:p w14:paraId="2EA0308B" w14:textId="77777777" w:rsidR="00A04191" w:rsidRDefault="00A04191" w:rsidP="00A04191">
      <w:pPr>
        <w:jc w:val="both"/>
      </w:pPr>
      <w:r>
        <w:rPr>
          <w:rFonts w:hint="eastAsia"/>
        </w:rPr>
        <w:t>【문제</w:t>
      </w:r>
      <w:r>
        <w:t>1】 중기계를 생산하는 제조회사에 근무하는 甲은 골절 등의 업무상 사고로 인하여 상해를 입었음을 이유로 근로복지공단으로부터 휴업급여와 장해급여 등의 지급결정을 받았다. 그 후 근로복지공단은 甲이 실제 상해를 입지 않았음에도 허위로 지급신청서를 작성하여 급여지급결정을 받은 사실을 들어 甲에 대한 급여지급결정을 취소하였고, 甲은 급여지급결</w:t>
      </w:r>
      <w:r>
        <w:rPr>
          <w:rFonts w:hint="eastAsia"/>
        </w:rPr>
        <w:t>정의</w:t>
      </w:r>
      <w:r>
        <w:t xml:space="preserve"> 취소처분서를 2021. 1. 7. 직접 수령하였다. 이와 함께 근로복지공단은 이미 甲에게 지급된 급여액에 해당하는 금액을 부당이득으로 징수하였다. 한편, 甲은 위 급여지급결정 취소처분이 위법함을 이유로 2021. 5. 7. 급여지급결정 취소처분에 대한 무효확인소송을 제기하였다. 다음 물음에 답하시오. (단, 각 물음은 상호 관련성이 없는 별개의 문항임) (50점)</w:t>
      </w:r>
    </w:p>
    <w:p w14:paraId="52730B14" w14:textId="77777777" w:rsidR="00A04191" w:rsidRDefault="00A04191" w:rsidP="00A04191">
      <w:pPr>
        <w:jc w:val="both"/>
      </w:pPr>
    </w:p>
    <w:p w14:paraId="227CDC27" w14:textId="77777777" w:rsidR="00A04191" w:rsidRDefault="00A04191" w:rsidP="00A04191">
      <w:pPr>
        <w:jc w:val="both"/>
      </w:pPr>
      <w:r>
        <w:t>(물음3) 위 무효확인소송에서 기각판결이 확정된 후 甲이 급여지급결정 취소처분의 "</w:t>
      </w:r>
      <w:r>
        <w:rPr>
          <w:rFonts w:hint="eastAsia"/>
        </w:rPr>
        <w:t>법령</w:t>
      </w:r>
      <w:r>
        <w:t xml:space="preserve"> 위반"을 이유로 국가배상청구소송을 제기한 경우, 무효확인소송의 기각판결의 효력과 관련하여 국가배상청구소송의 수소법원은 급여지급결정 취소처분의 "법령 위반"을 인정할 수 있는가? (20점)</w:t>
      </w:r>
    </w:p>
    <w:p w14:paraId="2B168E80" w14:textId="77777777" w:rsidR="00A04191" w:rsidRDefault="00A04191" w:rsidP="00A04191">
      <w:pPr>
        <w:jc w:val="both"/>
      </w:pPr>
    </w:p>
    <w:p w14:paraId="1B657F2C" w14:textId="77777777" w:rsidR="00A04191" w:rsidRDefault="00A04191" w:rsidP="00A04191">
      <w:pPr>
        <w:jc w:val="both"/>
      </w:pPr>
      <w:r>
        <w:rPr>
          <w:rFonts w:hint="eastAsia"/>
        </w:rPr>
        <w:t>「국가배상법</w:t>
      </w:r>
      <w:r>
        <w:t xml:space="preserve"> 제2조(배상책임)」</w:t>
      </w:r>
    </w:p>
    <w:p w14:paraId="1FCC7714" w14:textId="77777777" w:rsidR="00A04191" w:rsidRDefault="00A04191" w:rsidP="00A04191">
      <w:pPr>
        <w:jc w:val="both"/>
      </w:pPr>
      <w:r>
        <w:rPr>
          <w:rFonts w:hint="eastAsia"/>
        </w:rPr>
        <w:t>①</w:t>
      </w:r>
      <w:r>
        <w:t xml:space="preserve"> 국가나 지방자치단체는 공무원 또는 공무를 위탁받은 사인(이하 "공무원"이라 한다)이 직무를 집행하면서 고의 또는 과실로 법령을 위반하여 타인에게 손해를 입히거나, 「자동차손해배상 보장법」에 따라 손해배상의 책임이 있을 때에는 </w:t>
      </w:r>
      <w:r>
        <w:rPr>
          <w:rFonts w:hint="eastAsia"/>
        </w:rPr>
        <w:t>이</w:t>
      </w:r>
      <w:r>
        <w:t xml:space="preserve"> 법에 따라 그 손해를 배상하여야 한다. 다만, 군인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군무원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경찰공무원</w:t>
      </w:r>
      <w:r>
        <w:t xml:space="preserve"> 또는 예비군대원이 전투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훈련</w:t>
      </w:r>
      <w:r>
        <w:t xml:space="preserve"> 등 직무 집행과 관련하여 전사(戰死)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순직</w:t>
      </w:r>
      <w:r>
        <w:t>(殉職)하거나 공상(公傷)을 입은 경우에 본인이나 그 유족이 다른 법령에 따라 재해보상금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유족연금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상이연금</w:t>
      </w:r>
      <w:r>
        <w:t xml:space="preserve"> 등의 보상을 지급받을 수 있을 때에는 이 법 및 「민법」에 따른 손해배상을 청구할 수 없다.</w:t>
      </w:r>
    </w:p>
    <w:p w14:paraId="020107AC" w14:textId="77777777" w:rsidR="00A04191" w:rsidRDefault="00A04191" w:rsidP="00A04191">
      <w:pPr>
        <w:jc w:val="both"/>
      </w:pPr>
    </w:p>
    <w:p w14:paraId="7C8FF6F2" w14:textId="77777777" w:rsidR="00A04191" w:rsidRDefault="00A04191" w:rsidP="00A04191">
      <w:pPr>
        <w:jc w:val="both"/>
      </w:pPr>
    </w:p>
    <w:sectPr w:rsidR="00A041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91"/>
    <w:rsid w:val="008E6F57"/>
    <w:rsid w:val="00A0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E38A"/>
  <w15:chartTrackingRefBased/>
  <w15:docId w15:val="{C70E3034-EB94-456C-9C20-298C4A29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41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1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1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1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1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1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1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41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41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41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41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41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1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4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41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41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1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41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