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3C08" w14:textId="77777777" w:rsidR="00B84929" w:rsidRDefault="00B84929" w:rsidP="00B84929">
      <w:pPr>
        <w:jc w:val="both"/>
      </w:pPr>
      <w:r>
        <w:t>[기출][2021-2]행정청의 환지예정지지정처분에 대한 사정재결 후 취소소송 대상</w:t>
      </w:r>
    </w:p>
    <w:p w14:paraId="785116E1" w14:textId="77777777" w:rsidR="00B84929" w:rsidRDefault="00B84929" w:rsidP="00B84929">
      <w:pPr>
        <w:jc w:val="both"/>
      </w:pPr>
    </w:p>
    <w:p w14:paraId="178BA873" w14:textId="77777777" w:rsidR="00B84929" w:rsidRDefault="00B84929" w:rsidP="00B84929">
      <w:pPr>
        <w:jc w:val="both"/>
      </w:pPr>
      <w:r>
        <w:rPr>
          <w:rFonts w:hint="eastAsia"/>
        </w:rPr>
        <w:t>【문제</w:t>
      </w:r>
      <w:r>
        <w:t xml:space="preserve">2】 X시장의 환지예정지지정처분(이하 "이 사건 처분"이라 함)으로 불이익을 입은 甲은 이 사건 처분이 위법하다는 이유로 취소심판을 청구하였고 행정심판위원회는 처분의 위법을 인정하였다. 다만 행정심판위원회는 이 사건 처분이 취소될 경우 다수의 이해관계인에 대한 환지예정지지정처분까지도 변경됨으로써 기존의 사실관계가 뒤집어지고 새로운 사실관계가 형성되는 혼란이 발생될 </w:t>
      </w:r>
      <w:r>
        <w:rPr>
          <w:rFonts w:hint="eastAsia"/>
        </w:rPr>
        <w:t>수</w:t>
      </w:r>
      <w:r>
        <w:t xml:space="preserve"> 있다는 이유로 이 사건 처분을 취소하는 것이 공공복리에 크게 위배된다고 인정하여 위 심판청구를 기각하는 재결을 하였다. 甲이 이에 불복하여 취소소송을 제기할 경우 그 대상에 대하여 설명하시오. (25점)</w:t>
      </w:r>
    </w:p>
    <w:p w14:paraId="550B56B3" w14:textId="77777777" w:rsidR="00B84929" w:rsidRDefault="00B84929" w:rsidP="00B84929">
      <w:pPr>
        <w:jc w:val="both"/>
      </w:pPr>
    </w:p>
    <w:p w14:paraId="0046FAD6" w14:textId="63C9F00F" w:rsidR="00B84929" w:rsidRDefault="00B84929" w:rsidP="00B84929">
      <w:pPr>
        <w:jc w:val="both"/>
      </w:pPr>
    </w:p>
    <w:sectPr w:rsidR="00B849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29"/>
    <w:rsid w:val="008E6F57"/>
    <w:rsid w:val="00B8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AD209"/>
  <w15:chartTrackingRefBased/>
  <w15:docId w15:val="{71FB3DE7-E3BD-4B29-9E4A-EE5DB802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49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49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49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49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49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49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49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49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49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49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49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49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49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49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49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49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49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49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49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49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49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49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49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4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49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4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