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827F" w14:textId="77777777" w:rsidR="00A16C9A" w:rsidRDefault="00A16C9A" w:rsidP="00A16C9A">
      <w:pPr>
        <w:jc w:val="both"/>
      </w:pPr>
      <w:r>
        <w:t>[기출][2022-1-2]관할행정청의 처분 전에 제3자가 예방적으로 처분 금지를 구하는 소송의 허용 여부</w:t>
      </w:r>
    </w:p>
    <w:p w14:paraId="38815F1B" w14:textId="77777777" w:rsidR="00A16C9A" w:rsidRDefault="00A16C9A" w:rsidP="00A16C9A">
      <w:pPr>
        <w:jc w:val="both"/>
      </w:pPr>
    </w:p>
    <w:p w14:paraId="1D752164" w14:textId="77777777" w:rsidR="00A16C9A" w:rsidRDefault="00A16C9A" w:rsidP="00A16C9A">
      <w:pPr>
        <w:jc w:val="both"/>
      </w:pPr>
      <w:r>
        <w:rPr>
          <w:rFonts w:hint="eastAsia"/>
        </w:rPr>
        <w:t>【문제</w:t>
      </w:r>
      <w:r>
        <w:t>1】 채석업자 丙은 P산지(山地)에서 토석채취를 하기 위하여 관할행정청 군수 乙에게 토석채취허가신청을 하였다. 乙은 丙의 신청서류를 검토한 후 적정하다고 판단하여 토석채취허가(이하 "이 사건 처분"이라 한다.)를 하였다. 한편, P산지 내에는 과수원을 운영하여 거기에서 재배된 과일로 만든 잼 등을 제조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판매하는</w:t>
      </w:r>
      <w:r>
        <w:t xml:space="preserve"> 영농법인 甲이 있는데, 그곳에서 제조하는 잼 등은 청정지역에서 재배하여 품질 좋은 제품이라는 명성을 얻어 인기리에 판매되고 있다. 그런데, 甲은 과수원 인근에서 토석채취가 이루어지면 비산먼지 등으로 인하여 과수원에 악영향을 미친다고 판단하여, 이 사건 처분의 취소를 구하는 소를 제기하였다. 다음 물음에 답하시오. (50점)</w:t>
      </w:r>
    </w:p>
    <w:p w14:paraId="497CAD06" w14:textId="77777777" w:rsidR="00A16C9A" w:rsidRDefault="00A16C9A" w:rsidP="00A16C9A">
      <w:pPr>
        <w:jc w:val="both"/>
      </w:pPr>
    </w:p>
    <w:p w14:paraId="25C42C17" w14:textId="77777777" w:rsidR="00A16C9A" w:rsidRDefault="00A16C9A" w:rsidP="00A16C9A">
      <w:pPr>
        <w:jc w:val="both"/>
      </w:pPr>
      <w:r>
        <w:t>(물음2) 위 사안에서 丙이 토석채취허가신청을 하였으나, 乙이 이 사건 처분을 하기 전이라면, 甲은 乙이 이 사건 처분을 하여서는 안 된다는 소의 제기가 허용되</w:t>
      </w:r>
      <w:r>
        <w:rPr>
          <w:rFonts w:hint="eastAsia"/>
        </w:rPr>
        <w:t>는가</w:t>
      </w:r>
      <w:r>
        <w:t>? (30점)</w:t>
      </w:r>
    </w:p>
    <w:p w14:paraId="2AB9389D" w14:textId="77777777" w:rsidR="00A16C9A" w:rsidRDefault="00A16C9A" w:rsidP="00A16C9A">
      <w:pPr>
        <w:jc w:val="both"/>
      </w:pPr>
    </w:p>
    <w:p w14:paraId="13D2F4E8" w14:textId="71DC47BE" w:rsidR="00A16C9A" w:rsidRDefault="00A16C9A" w:rsidP="00A16C9A">
      <w:pPr>
        <w:jc w:val="both"/>
      </w:pPr>
    </w:p>
    <w:sectPr w:rsidR="00A16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9A"/>
    <w:rsid w:val="008E6F57"/>
    <w:rsid w:val="00A1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C462B"/>
  <w15:chartTrackingRefBased/>
  <w15:docId w15:val="{88038E04-C11B-4E2B-B854-BE1668FB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6C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6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6C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6C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6C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6C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6C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6C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6C9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6C9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6C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6C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6C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6C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6C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6C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6C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6C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6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6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6C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6C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6C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6C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6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