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7C0F" w:rsidRDefault="00607C0F" w:rsidP="00607C0F">
      <w:pPr>
        <w:jc w:val="both"/>
      </w:pPr>
      <w:r>
        <w:t>[기출][2022-2]소송 계속 중 정년 도과와 금전보상명령의 협의의 소의 이익 인정 여부</w:t>
      </w:r>
    </w:p>
    <w:p w:rsidR="00607C0F" w:rsidRDefault="00607C0F" w:rsidP="00607C0F">
      <w:pPr>
        <w:jc w:val="both"/>
      </w:pPr>
    </w:p>
    <w:p w:rsidR="00607C0F" w:rsidRDefault="00607C0F" w:rsidP="00607C0F">
      <w:pPr>
        <w:jc w:val="both"/>
      </w:pPr>
      <w:r>
        <w:rPr>
          <w:rFonts w:hint="eastAsia"/>
        </w:rPr>
        <w:t>【문제</w:t>
      </w:r>
      <w:r>
        <w:t xml:space="preserve">2】 甲은 교육사업을 영위하는 회사 乙과 기간의 정함이 없는 근로계약을 체결하고 근무하던 중 乙로부터 해고를 통보받았다. 이에 대해 甲은 서울지방노동위원회에 부당해고 구제를 신청하였고, 이후 원직에 복직하는 대신 금전보상명령을 구하는 것으로 신청취지를 변경하였다. 그러나 서울지방노동위원회에의 구제신청과 이어진 중앙노동위원회에의 재심신청이 각각 기각됨에 따라, 甲은 2022. 7. 22. 서울행정법원에 재심판정의 취소를 구하는 소를 제기하였다. 한편, 乙은 2022. 7. 19. 정당한 절차에 의해 취업규칙을 개정하였고, 이 규칙은 이 사건 소가 계속 중이던 2022. 8. 1.부터 시행되었다. 종전 취업규칙에는 정년에 관한 규정이 없었으나 "개정 취업규칙"에는 근로자가 만 60세에 도달하는 날을 정년으로 정하고 있으며, 甲은 이미 2022. 4. 15. 만 60세에 도달하였다. </w:t>
      </w:r>
    </w:p>
    <w:p w:rsidR="00607C0F" w:rsidRDefault="00607C0F" w:rsidP="00607C0F">
      <w:pPr>
        <w:jc w:val="both"/>
      </w:pPr>
      <w:r>
        <w:rPr>
          <w:rFonts w:hint="eastAsia"/>
        </w:rPr>
        <w:t>甲이</w:t>
      </w:r>
      <w:r>
        <w:t xml:space="preserve"> 중앙노동위원회의 재</w:t>
      </w:r>
      <w:r>
        <w:rPr>
          <w:rFonts w:hint="eastAsia"/>
        </w:rPr>
        <w:t>심판정을</w:t>
      </w:r>
      <w:r>
        <w:t xml:space="preserve"> 다툴 협의의 소의 이익이 인정되는지를 설명하시오. (25점)</w:t>
      </w:r>
    </w:p>
    <w:p w:rsidR="00607C0F" w:rsidRDefault="00607C0F" w:rsidP="00607C0F">
      <w:pPr>
        <w:jc w:val="both"/>
      </w:pPr>
    </w:p>
    <w:p w:rsidR="00607C0F" w:rsidRDefault="00607C0F" w:rsidP="00607C0F">
      <w:pPr>
        <w:jc w:val="both"/>
      </w:pPr>
    </w:p>
    <w:sectPr w:rsidR="00607C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0F"/>
    <w:rsid w:val="00607C0F"/>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93AEE-B512-4285-9989-1619D975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7C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07C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07C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07C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07C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07C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07C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07C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07C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07C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07C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07C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07C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07C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07C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07C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07C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07C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07C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07C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7C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07C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07C0F"/>
    <w:pPr>
      <w:spacing w:before="160"/>
      <w:jc w:val="center"/>
    </w:pPr>
    <w:rPr>
      <w:i/>
      <w:iCs/>
      <w:color w:val="404040" w:themeColor="text1" w:themeTint="BF"/>
    </w:rPr>
  </w:style>
  <w:style w:type="character" w:customStyle="1" w:styleId="Char1">
    <w:name w:val="인용 Char"/>
    <w:basedOn w:val="a0"/>
    <w:link w:val="a5"/>
    <w:uiPriority w:val="29"/>
    <w:rsid w:val="00607C0F"/>
    <w:rPr>
      <w:i/>
      <w:iCs/>
      <w:color w:val="404040" w:themeColor="text1" w:themeTint="BF"/>
    </w:rPr>
  </w:style>
  <w:style w:type="paragraph" w:styleId="a6">
    <w:name w:val="List Paragraph"/>
    <w:basedOn w:val="a"/>
    <w:uiPriority w:val="34"/>
    <w:qFormat/>
    <w:rsid w:val="00607C0F"/>
    <w:pPr>
      <w:ind w:left="720"/>
      <w:contextualSpacing/>
    </w:pPr>
  </w:style>
  <w:style w:type="character" w:styleId="a7">
    <w:name w:val="Intense Emphasis"/>
    <w:basedOn w:val="a0"/>
    <w:uiPriority w:val="21"/>
    <w:qFormat/>
    <w:rsid w:val="00607C0F"/>
    <w:rPr>
      <w:i/>
      <w:iCs/>
      <w:color w:val="0F4761" w:themeColor="accent1" w:themeShade="BF"/>
    </w:rPr>
  </w:style>
  <w:style w:type="paragraph" w:styleId="a8">
    <w:name w:val="Intense Quote"/>
    <w:basedOn w:val="a"/>
    <w:next w:val="a"/>
    <w:link w:val="Char2"/>
    <w:uiPriority w:val="30"/>
    <w:qFormat/>
    <w:rsid w:val="00607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07C0F"/>
    <w:rPr>
      <w:i/>
      <w:iCs/>
      <w:color w:val="0F4761" w:themeColor="accent1" w:themeShade="BF"/>
    </w:rPr>
  </w:style>
  <w:style w:type="character" w:styleId="a9">
    <w:name w:val="Intense Reference"/>
    <w:basedOn w:val="a0"/>
    <w:uiPriority w:val="32"/>
    <w:qFormat/>
    <w:rsid w:val="00607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