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1719" w:rsidRDefault="00411719" w:rsidP="00411719">
      <w:pPr>
        <w:jc w:val="both"/>
      </w:pPr>
      <w:r>
        <w:t>[기출][2023-1-2]무효확인소송 인용판결 확정 후 피고 행정청의 재처분의무 및 이행 강제를 위한 소송법상 수단</w:t>
      </w:r>
    </w:p>
    <w:p w:rsidR="00411719" w:rsidRDefault="00411719" w:rsidP="00411719">
      <w:pPr>
        <w:jc w:val="both"/>
      </w:pPr>
    </w:p>
    <w:p w:rsidR="00411719" w:rsidRDefault="00411719" w:rsidP="00411719">
      <w:pPr>
        <w:jc w:val="both"/>
      </w:pPr>
      <w:r>
        <w:rPr>
          <w:rFonts w:hint="eastAsia"/>
        </w:rPr>
        <w:t>【문제</w:t>
      </w:r>
      <w:r>
        <w:t>1】 A시는 택지개발예정지구 지정 공람공고가 이루어진 P사업지구에서 택지개발사업을 시행하고 있으며, 甲은 P사업지구에 주택을 소유하고 있는 자이다. A시는 택지개발사업과 관련한 이주대책을 수립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공고하였는데</w:t>
      </w:r>
      <w:r>
        <w:t>, 이에 의하면 이주대책 대상자 요건을 "택지개발예정지구 지정 공람공고일 1년 이전부터 보상계약체결일 또는 수용재결일까지 계속하여 P사업지구 내 주택을 소유하고 계속 거주한 자로, A시로부터 그 주택에 대한 보상을 받고 이주하는 자"로 정하고 있다. 甲은 A시에 이주대책 대상자 선정 신청을 하였으나, A시는 "기준일 이후 주택 취득"을 이유로 甲을 이주대책 대상에서 제외하는 결정을 하였고, 이 결정은 2023. 6. 28. 甲에게 통보되었다(이하 "1차 결정"이라 함). 이에 甲은 A시에 이의신청을 하면서, 이의신청서에 이주대책 대상자 선정요건을 충족함을 증명할 수 있는 마을주민</w:t>
      </w:r>
      <w:r>
        <w:rPr>
          <w:rFonts w:hint="eastAsia"/>
        </w:rPr>
        <w:t>확인서</w:t>
      </w:r>
      <w:r>
        <w:t>, 수도개설 사용, 전력 개통사용자 확인 등 증빙서류를 새롭게 추가로 첨부하여 제출하였다. 그러나 A시는 추가된 증빙자료만으로 법적 소유관계를 확인할 수 없다는 이유로 甲의 이의신청을 기각하고 甲을 이주대책 대상에서 제외한다는 결정을 하였으며, 이 결정은 2023. 8. 31. 甲에게 통보되었다(이하 "2차 결정"이라 함). 다음 각 물음에 답하시오. (각 물음은 상호관련성이 없는 별개의 상황임) (50점)</w:t>
      </w:r>
    </w:p>
    <w:p w:rsidR="00411719" w:rsidRDefault="00411719" w:rsidP="00411719">
      <w:pPr>
        <w:jc w:val="both"/>
      </w:pPr>
    </w:p>
    <w:p w:rsidR="00411719" w:rsidRDefault="00411719" w:rsidP="00411719">
      <w:pPr>
        <w:jc w:val="both"/>
      </w:pPr>
      <w:r>
        <w:t>(물음2) 甲이 1차 결정에 대해 무효</w:t>
      </w:r>
      <w:r>
        <w:rPr>
          <w:rFonts w:hint="eastAsia"/>
        </w:rPr>
        <w:t>확인소송을</w:t>
      </w:r>
      <w:r>
        <w:t xml:space="preserve"> 제기하였고, 甲이 기준일 이전에 주택을 취득한 것이 인정되어 청구를 인용하는 법원의 판결이 확정되었다. A시는 甲을 이주대책 대상자로 선정하여야 하는지 여부 및 A시가 아무런 조치를 하지 않는 경우 「행정소송법」상 강제수단에 대하여 설명하시오. (25점)</w:t>
      </w:r>
    </w:p>
    <w:p w:rsidR="00411719" w:rsidRDefault="00411719" w:rsidP="00411719">
      <w:pPr>
        <w:jc w:val="both"/>
      </w:pPr>
    </w:p>
    <w:p w:rsidR="00411719" w:rsidRDefault="00411719" w:rsidP="00411719">
      <w:pPr>
        <w:jc w:val="both"/>
      </w:pPr>
    </w:p>
    <w:sectPr w:rsidR="0041171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719"/>
    <w:rsid w:val="00411719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E66ABF-D6A4-458F-B407-9654C4B22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1171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11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117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1171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1171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1171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1171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1171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1171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1171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1171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1171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117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117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117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117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117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1171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117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11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117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117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11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1171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1171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1171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11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1171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117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