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08111" w14:textId="77777777" w:rsidR="00DD3842" w:rsidRDefault="00DD3842" w:rsidP="00DD3842">
      <w:pPr>
        <w:jc w:val="both"/>
      </w:pPr>
      <w:r>
        <w:t>[기출][2023-3]공사 전부 도급 시 고용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산재보험료</w:t>
      </w:r>
      <w:r>
        <w:t xml:space="preserve"> 부존재확인 및 부당이득반환 청구의 적법한 피고와 소송유형</w:t>
      </w:r>
    </w:p>
    <w:p w14:paraId="760109BC" w14:textId="77777777" w:rsidR="00DD3842" w:rsidRDefault="00DD3842" w:rsidP="00DD3842">
      <w:pPr>
        <w:jc w:val="both"/>
      </w:pPr>
    </w:p>
    <w:p w14:paraId="4F32D714" w14:textId="77777777" w:rsidR="00DD3842" w:rsidRDefault="00DD3842" w:rsidP="00DD3842">
      <w:pPr>
        <w:jc w:val="both"/>
      </w:pPr>
      <w:r>
        <w:rPr>
          <w:rFonts w:hint="eastAsia"/>
        </w:rPr>
        <w:t>【문제</w:t>
      </w:r>
      <w:r>
        <w:t>3】 甲은 자기 소유 토지에 전원주택을 신축하고자 건축업자인 乙과 전원주택신축공사에 관하여 도급계약을 체결하였고, 乙은 근로복지공단에 고용보험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산재보험관계성립신고를</w:t>
      </w:r>
      <w:r>
        <w:t xml:space="preserve"> 하면서 신고서에 위 신축공사 사업장의 사업주를 甲으로 기재하여 제출하였다. 甲은 위 사업장에 관한 고용보험료와 산재보험료 중 일부만 납부하였고, 국민건강보험공단은 甲에게 </w:t>
      </w:r>
      <w:r>
        <w:rPr>
          <w:rFonts w:hint="eastAsia"/>
        </w:rPr>
        <w:t>체납된</w:t>
      </w:r>
      <w:r>
        <w:t xml:space="preserve"> 고용보험료 및 산재보험료를 납부할 것을 독촉하였다. 관련 법령상 보험료의 신고 또는 납부 등 산재보험 및 고용보험에 관한 사업의 주요 업무는 고용노동부장관으로부터 위탁받은 근로복지공단이 수행하고, 다만 보험료 체납관리 등 징수업무는 국민건강보험공단이 위탁받아 수행하고 있다. 甲은 건축주가 직접 공사를 하지 않고 공사 전부를 수급인에게 도급을 준 경우에는 근로자를 사용하여 공사를 수행하는 수급인이 원칙적으로 그 공사에 관한 사업주로서 고용보험 및 </w:t>
      </w:r>
      <w:r>
        <w:rPr>
          <w:rFonts w:hint="eastAsia"/>
        </w:rPr>
        <w:t>산재보험의</w:t>
      </w:r>
      <w:r>
        <w:t xml:space="preserve"> 가입자가 되어 고용보험료 및 산재보험료를 납부할 의무를 부담한다는 것을 알게 되었다. 이에 甲은 국민건강보험공단이 납부를 독촉하는 보험료채무에 대해 그 부존재확인을 구하는 소송과 이미 근로복지공단에 납부한 보험료에 대해 부당이득으로서 반환을 구하는 소송을 제기하고자 한다. 甲은 누구를 상대로 어떤 유형의 소송을 제기하여야 하는지 설명하시오. (25점)</w:t>
      </w:r>
    </w:p>
    <w:p w14:paraId="6A86434A" w14:textId="77777777" w:rsidR="00DD3842" w:rsidRDefault="00DD3842" w:rsidP="00DD3842">
      <w:pPr>
        <w:jc w:val="both"/>
      </w:pPr>
    </w:p>
    <w:p w14:paraId="00736102" w14:textId="6C71F30E" w:rsidR="00DD3842" w:rsidRDefault="00DD3842" w:rsidP="00DD3842">
      <w:pPr>
        <w:jc w:val="both"/>
      </w:pPr>
    </w:p>
    <w:sectPr w:rsidR="00DD38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842"/>
    <w:rsid w:val="008E6F57"/>
    <w:rsid w:val="00DD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07493"/>
  <w15:chartTrackingRefBased/>
  <w15:docId w15:val="{C50CC901-43CC-48D1-ABFF-483C85C0F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38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3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38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38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38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38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38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38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38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38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38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38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38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38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3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3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3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3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38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38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384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3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384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38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