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1BA1" w:rsidRDefault="00011BA1" w:rsidP="00011BA1">
      <w:pPr>
        <w:jc w:val="both"/>
      </w:pPr>
      <w:r>
        <w:t>[기출][2025-1-1]최초 거부처분에서 추가한 사유를 다시 제기한 재거부처분에 대한 간접강제 신청의 인용 여부</w:t>
      </w:r>
    </w:p>
    <w:p w:rsidR="00011BA1" w:rsidRDefault="00011BA1" w:rsidP="00011BA1">
      <w:pPr>
        <w:jc w:val="both"/>
      </w:pPr>
    </w:p>
    <w:p w:rsidR="00011BA1" w:rsidRDefault="00011BA1" w:rsidP="00011BA1">
      <w:pPr>
        <w:jc w:val="both"/>
      </w:pPr>
      <w:r>
        <w:rPr>
          <w:rFonts w:hint="eastAsia"/>
        </w:rPr>
        <w:t>【문제</w:t>
      </w:r>
      <w:r>
        <w:t>1】 직업능력개발 훈련비용 지원금과 관련한 아래 질문에 답하시오. (50점)</w:t>
      </w:r>
    </w:p>
    <w:p w:rsidR="00011BA1" w:rsidRDefault="00011BA1" w:rsidP="00011BA1">
      <w:pPr>
        <w:jc w:val="both"/>
      </w:pPr>
      <w:r>
        <w:t>&lt;사례1&gt;</w:t>
      </w:r>
    </w:p>
    <w:p w:rsidR="00011BA1" w:rsidRDefault="00011BA1" w:rsidP="00011BA1">
      <w:pPr>
        <w:jc w:val="both"/>
      </w:pPr>
      <w:r>
        <w:t xml:space="preserve">  근로자 甲은 A지방고용노동청장(이하 "A청장")에게 "직업능력개발 훈련비용 지원금(이하 "지원금")"을 신청하였다. A청장은 "甲이 참여하는 훈련 프로그램은 훈련비 지원 관련 규정의 취지에 비추어 직업능력 개발 훈련의 목적이 부합하지 않는다(이</w:t>
      </w:r>
      <w:r>
        <w:rPr>
          <w:rFonts w:hint="eastAsia"/>
        </w:rPr>
        <w:t>하</w:t>
      </w:r>
      <w:r>
        <w:t xml:space="preserve"> '&lt;처분사유1&gt;')"는 사유로 甲의 신청을 거부하였다. 이에 甲은 거부처분취소소송을 제기하였는데, 소송의 계속 중 A청장은 거부처분 사유로 기존의 &lt;처분사유1&gt; 이외에 "甲이 제출한 훈련비용 지원서에는 관계 법규에 따라 기재하여야 하는 사항 중 일부가 누락되어 유효한 신청서로 볼 수 없다(이하 '&lt;처분사유2&gt;')"라는 새로운 사유를 추가하였다. 관할 법원은 甲에게 &lt;처분사유2&gt;는 기존 &lt;처분사유1&gt;과 사회적 사실관계가 다른 별개의 사항이지만 처분사유</w:t>
      </w:r>
      <w:r>
        <w:rPr>
          <w:rFonts w:hint="eastAsia"/>
        </w:rPr>
        <w:t>의</w:t>
      </w:r>
      <w:r>
        <w:t xml:space="preserve"> 추가에 동의하는지를 물었고, 甲은 위 취소소송을 통하여 지원금 지급 여부에 관한 법적 다툼을 한꺼번에 해결하려는 의도로 처분사유의 추가에 대한 동의서를 법원에 제출하였다. 법원은 甲의 동의에 따라 처분사유의 추가를 허용하였고, 두 가지 처분사유를 종합적으로 심리한 결과 甲의 소송상 청구를 인용하였으며, 해당 판결은 상고심에서 그대로 확정되었다.</w:t>
      </w:r>
    </w:p>
    <w:p w:rsidR="00011BA1" w:rsidRDefault="00011BA1" w:rsidP="00011BA1">
      <w:pPr>
        <w:jc w:val="both"/>
      </w:pPr>
      <w:r>
        <w:t>&lt;사례2&gt;</w:t>
      </w:r>
    </w:p>
    <w:p w:rsidR="00011BA1" w:rsidRDefault="00011BA1" w:rsidP="00011BA1">
      <w:pPr>
        <w:jc w:val="both"/>
      </w:pPr>
      <w:r>
        <w:t xml:space="preserve">  근로자 乙은 B지방고용노동청장(이하 "B청장")에게 "직업능력개발 훈련비용 지원금(이하 "지</w:t>
      </w:r>
      <w:r>
        <w:rPr>
          <w:rFonts w:hint="eastAsia"/>
        </w:rPr>
        <w:t>원금</w:t>
      </w:r>
      <w:r>
        <w:t>")"을 신청하여 이를 지급받았다. 그 후 B청장은 내부 규정에 따라 지원금의 지급 및 환수 권한을 소속 담당부서장에게 내부위임하였다. 한편, 지원금 수급 현황 정기실태조사를 실시한 담당부서장은 부정한 방법으로 수령한 지원금을 환수한다는 내용의 환수처분을 자신의 명의로 乙에게 발령하였고, 乙은 이를 반환하였다. 그런데 乙은 지원금의 반환 후 위 환수처분에 발령 주체 상의 하자가 있음을 알게 되었다.</w:t>
      </w:r>
    </w:p>
    <w:p w:rsidR="00011BA1" w:rsidRDefault="00011BA1" w:rsidP="00011BA1">
      <w:pPr>
        <w:jc w:val="both"/>
      </w:pPr>
    </w:p>
    <w:p w:rsidR="00011BA1" w:rsidRDefault="00011BA1" w:rsidP="00011BA1">
      <w:pPr>
        <w:jc w:val="both"/>
      </w:pPr>
      <w:r>
        <w:t>(물음1) 甲의 취소소송에서 인용판결이 확정된 후 A청장은 &lt;처분사유2&gt;는 &lt;처분사유1&gt;과 사회적 사실관계가 다른 별개의 사유임에 착안하여 이전의 甲의 지원금 신청에 대하여 &lt;처분사유2&gt;를 들어 다시 거부처분을 하였고, 이에 대하여 甲은 간접강제를 신청하였다. 甲의 간접강제 신청에 대한 법원의 인용 여부에 관하여 논하시오. (25점)</w:t>
      </w:r>
    </w:p>
    <w:p w:rsidR="00011BA1" w:rsidRDefault="00011BA1" w:rsidP="00011BA1">
      <w:pPr>
        <w:jc w:val="both"/>
      </w:pPr>
    </w:p>
    <w:p w:rsidR="00011BA1" w:rsidRDefault="00011BA1" w:rsidP="00011BA1">
      <w:pPr>
        <w:jc w:val="both"/>
      </w:pPr>
    </w:p>
    <w:sectPr w:rsidR="00011B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A1"/>
    <w:rsid w:val="00011BA1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BFA5F-DB5D-48CB-AE39-178CEF2E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1B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1B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1B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1B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1B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1B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1B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1B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1B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1B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1B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1B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1B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1B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1B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1B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1B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1B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1B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1B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1B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1B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1B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1B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1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