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A452" w14:textId="77777777" w:rsidR="009C20E8" w:rsidRDefault="009C20E8" w:rsidP="009C20E8">
      <w:pPr>
        <w:jc w:val="both"/>
      </w:pPr>
      <w:r>
        <w:t>[기출][2025-2]감경 변경재결 및 후속 변경처분에 따른 취소소송의 대상적격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피고적격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제소기간</w:t>
      </w:r>
      <w:r>
        <w:t xml:space="preserve"> 준수 여부 검토</w:t>
      </w:r>
    </w:p>
    <w:p w14:paraId="30B8A1C0" w14:textId="77777777" w:rsidR="009C20E8" w:rsidRDefault="009C20E8" w:rsidP="009C20E8">
      <w:pPr>
        <w:jc w:val="both"/>
      </w:pPr>
    </w:p>
    <w:p w14:paraId="362212ED" w14:textId="77777777" w:rsidR="009C20E8" w:rsidRDefault="009C20E8" w:rsidP="009C20E8">
      <w:pPr>
        <w:jc w:val="both"/>
      </w:pPr>
      <w:r>
        <w:rPr>
          <w:rFonts w:hint="eastAsia"/>
        </w:rPr>
        <w:t>【문제</w:t>
      </w:r>
      <w:r>
        <w:t>2】 개업노무사로 업무를 수행하고 있는 甲은 2024. 3. 한 달 동안 3차례에 걸쳐 노동 관계 법령에 위반되는 행위에 관한 지도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상담을</w:t>
      </w:r>
      <w:r>
        <w:t xml:space="preserve"> 하다가 관할 지방고용노동청에 적발되었다. 이에 고용노동부장관 A는 공인노무사자격심의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징계위원회의</w:t>
      </w:r>
      <w:r>
        <w:t xml:space="preserve"> 징계의결에 따라 2024. 8. 26. 甲에게 6월의 직무정지처분을 하였고, 甲은 다음 날 그 처분</w:t>
      </w:r>
      <w:r>
        <w:rPr>
          <w:rFonts w:hint="eastAsia"/>
        </w:rPr>
        <w:t>서를</w:t>
      </w:r>
      <w:r>
        <w:t xml:space="preserve"> 수령하였다. 甲은 2024. 9. 30. 6월의 직무정지처분이 재량권을 일탈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남용하였다며</w:t>
      </w:r>
      <w:r>
        <w:t xml:space="preserve"> 관할 행정심판위원회에 6월의 직무정치저분의 취소심판을 청구하였다. 행정심판위원회는 2024. 11. 4. "A가 甲에 대하여 한 6월의 직무정지처분을 3월의 직무정지처분으로 변경하라"는 일부인용의 이행재결을 하였으며, 2024. 11. 18. 그 재결서 정본이 甲에게 도달하였다. A는 재결의 취지에 따라 2024. 11. 25. 甲에게 "6월의 직무정지처분을 3월의 직무정지처분으로 변경한다"는 취지의 후속 변경처분을 하였으나, 甲은 이 또한 과도한 제재처분이라면서 2024. 11. 25.자 3월의 직무정지처분을 대상으로 관할 행정심판위원회를 피고로 하여 2024. 12. 10. 취소소송을 제기하였다. 이 경우 甲이 제기한 취소소송의 대상적격과 피고적격 그리고 제소기간의 준수 여부에 관하여 각각 검토하시오. (25점)</w:t>
      </w:r>
    </w:p>
    <w:p w14:paraId="543CCF36" w14:textId="77777777" w:rsidR="009C20E8" w:rsidRDefault="009C20E8" w:rsidP="009C20E8">
      <w:pPr>
        <w:jc w:val="both"/>
      </w:pPr>
    </w:p>
    <w:p w14:paraId="3BE61E8A" w14:textId="77777777" w:rsidR="009C20E8" w:rsidRDefault="009C20E8" w:rsidP="009C20E8">
      <w:pPr>
        <w:jc w:val="both"/>
      </w:pPr>
    </w:p>
    <w:sectPr w:rsidR="009C20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E8"/>
    <w:rsid w:val="008E6F57"/>
    <w:rsid w:val="009C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E93B"/>
  <w15:chartTrackingRefBased/>
  <w15:docId w15:val="{B62CA0FB-6B3E-4502-99B7-F63DD113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20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20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20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20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20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20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20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20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20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20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20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20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20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20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2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2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2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20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20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20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2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20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2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