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3790" w:rsidRDefault="001F3790" w:rsidP="001F3790">
      <w:pPr>
        <w:jc w:val="both"/>
      </w:pPr>
      <w:r>
        <w:t>[예상][09.04-1]무효확인소송에서 사정판결의 준용 여부 및 사안에 대한 판단</w:t>
      </w:r>
    </w:p>
    <w:p w:rsidR="001F3790" w:rsidRDefault="001F3790" w:rsidP="001F3790">
      <w:pPr>
        <w:jc w:val="both"/>
      </w:pPr>
    </w:p>
    <w:p w:rsidR="001F3790" w:rsidRDefault="001F3790" w:rsidP="001F3790">
      <w:pPr>
        <w:jc w:val="both"/>
      </w:pPr>
      <w:r>
        <w:rPr>
          <w:rFonts w:hint="eastAsia"/>
        </w:rPr>
        <w:t>【문제</w:t>
      </w:r>
      <w:r>
        <w:t xml:space="preserve">9.4】 </w:t>
      </w:r>
    </w:p>
    <w:p w:rsidR="001F3790" w:rsidRDefault="001F3790" w:rsidP="001F3790">
      <w:pPr>
        <w:jc w:val="both"/>
      </w:pPr>
      <w:r>
        <w:t xml:space="preserve">&lt;사례&gt; </w:t>
      </w:r>
    </w:p>
    <w:p w:rsidR="001F3790" w:rsidRDefault="001F3790" w:rsidP="001F3790">
      <w:pPr>
        <w:jc w:val="both"/>
      </w:pPr>
      <w:r>
        <w:rPr>
          <w:rFonts w:hint="eastAsia"/>
        </w:rPr>
        <w:t>행정청</w:t>
      </w:r>
      <w:r>
        <w:t xml:space="preserve"> A는 관내 도로 확장 공사를 위해 甲 소유의 토지에 대하여 수용재결을 내렸고, 현재 공사는 90% 이상 진행되어 도로의 외형이 갖춰진 상태이다. 甲은 해당 수용재결의 절차상 중대한 하자가 존재하여 "당연무효"라고 주장하며 무효확인소송을 제기하였다. 심리 결과 법원은 수용재결에 실제로 중대하고 명백한 하자가 있어 무효 사유에 해당한다고 판</w:t>
      </w:r>
      <w:r>
        <w:rPr>
          <w:rFonts w:hint="eastAsia"/>
        </w:rPr>
        <w:t>단하였다</w:t>
      </w:r>
      <w:r>
        <w:t>. 그러나 행정청 A는 공사가 거의 완료된 시점에서 수용재결이 무효로 확정될 경우 이미 투입된 막대한 예산이 낭비되고 교통 혼란이 야기되는 등 공공복리에 중대한 지장을 초래할 것이라며 "사정판결"을 내려달라고 주장한다. 한편, 甲은 소송에서 승소할 경우 해당 판결의 효력이 처분청인 A 외에 다른 국가기관에도 미치는지 궁금해하고 있다.</w:t>
      </w:r>
    </w:p>
    <w:p w:rsidR="001F3790" w:rsidRDefault="001F3790" w:rsidP="001F3790">
      <w:pPr>
        <w:jc w:val="both"/>
      </w:pPr>
    </w:p>
    <w:p w:rsidR="001F3790" w:rsidRDefault="001F3790" w:rsidP="001F3790">
      <w:pPr>
        <w:jc w:val="both"/>
      </w:pPr>
      <w:r>
        <w:t>(물음1) 무효확인소송에서 행정소송법 제28조의 사정판결 규정이 준용될 수 있는지에 대하여 학설 및 대법원 판례</w:t>
      </w:r>
      <w:r>
        <w:rPr>
          <w:rFonts w:hint="eastAsia"/>
        </w:rPr>
        <w:t>의</w:t>
      </w:r>
      <w:r>
        <w:t xml:space="preserve"> 입장을 서술하고, 사안의 수용재결이 무효인 경우 법원이 사정판결을 내릴 수 있는지 답하라.</w:t>
      </w:r>
    </w:p>
    <w:p w:rsidR="001F3790" w:rsidRDefault="001F3790" w:rsidP="001F3790">
      <w:pPr>
        <w:jc w:val="both"/>
      </w:pPr>
    </w:p>
    <w:p w:rsidR="001F3790" w:rsidRDefault="001F3790" w:rsidP="001F3790">
      <w:pPr>
        <w:jc w:val="both"/>
      </w:pPr>
    </w:p>
    <w:sectPr w:rsidR="001F379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790"/>
    <w:rsid w:val="001F3790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2CD283-28EC-4FAC-AAF5-A1704FA2B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F379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F3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F37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F379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F379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F379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F379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F379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F379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F379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F379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F379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F37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F37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F37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F37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F37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F379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F37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F3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F37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F37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F3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F379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F379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F379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F3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F379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F37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