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61D5A" w14:textId="77777777" w:rsidR="00387848" w:rsidRDefault="00387848" w:rsidP="00387848">
      <w:pPr>
        <w:jc w:val="both"/>
      </w:pPr>
      <w:r>
        <w:t>[예상][10.01]부작위위법확인소송과 행정심판전치주의의 관계</w:t>
      </w:r>
    </w:p>
    <w:p w14:paraId="1F4DB25F" w14:textId="77777777" w:rsidR="00387848" w:rsidRDefault="00387848" w:rsidP="00387848">
      <w:pPr>
        <w:jc w:val="both"/>
      </w:pPr>
    </w:p>
    <w:p w14:paraId="41CC1BAD" w14:textId="77777777" w:rsidR="00387848" w:rsidRDefault="00387848" w:rsidP="00387848">
      <w:pPr>
        <w:jc w:val="both"/>
      </w:pPr>
      <w:r>
        <w:rPr>
          <w:rFonts w:hint="eastAsia"/>
        </w:rPr>
        <w:t>【문제</w:t>
      </w:r>
      <w:r>
        <w:t xml:space="preserve">10.1】 </w:t>
      </w:r>
    </w:p>
    <w:p w14:paraId="68561A24" w14:textId="77777777" w:rsidR="00387848" w:rsidRDefault="00387848" w:rsidP="00387848">
      <w:pPr>
        <w:jc w:val="both"/>
      </w:pPr>
      <w:r>
        <w:rPr>
          <w:rFonts w:hint="eastAsia"/>
        </w:rPr>
        <w:t>부작위위법확인소송과</w:t>
      </w:r>
      <w:r>
        <w:t xml:space="preserve"> 행정심판전치주의의 관계에 대해서 논하시오.</w:t>
      </w:r>
    </w:p>
    <w:p w14:paraId="0D32069C" w14:textId="77777777" w:rsidR="00387848" w:rsidRDefault="00387848" w:rsidP="00387848">
      <w:pPr>
        <w:jc w:val="both"/>
      </w:pPr>
    </w:p>
    <w:p w14:paraId="2D6E7346" w14:textId="4A35CE24" w:rsidR="00387848" w:rsidRDefault="00387848" w:rsidP="00387848">
      <w:pPr>
        <w:jc w:val="both"/>
      </w:pPr>
    </w:p>
    <w:sectPr w:rsidR="0038784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848"/>
    <w:rsid w:val="00387848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5D690"/>
  <w15:chartTrackingRefBased/>
  <w15:docId w15:val="{B804067A-2EEE-4D16-A42F-1C587E8C7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8784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87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878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8784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8784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8784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8784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8784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8784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8784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8784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8784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878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878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878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878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878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8784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8784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87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878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878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87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8784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8784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8784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87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8784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878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