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1B41" w14:textId="77777777" w:rsidR="00F27468" w:rsidRDefault="00F27468" w:rsidP="00F27468">
      <w:pPr>
        <w:jc w:val="both"/>
      </w:pPr>
      <w:r>
        <w:t>[예상][12.01-2]부작위에 대한 행정심판의 종류, 부작위 성립 요건 및 행정심판 제기의 예외 사유</w:t>
      </w:r>
    </w:p>
    <w:p w14:paraId="669040C7" w14:textId="77777777" w:rsidR="00F27468" w:rsidRDefault="00F27468" w:rsidP="00F27468">
      <w:pPr>
        <w:jc w:val="both"/>
      </w:pPr>
    </w:p>
    <w:p w14:paraId="23C15A5B" w14:textId="77777777" w:rsidR="00F27468" w:rsidRDefault="00F27468" w:rsidP="00F27468">
      <w:pPr>
        <w:jc w:val="both"/>
      </w:pPr>
      <w:r>
        <w:rPr>
          <w:rFonts w:hint="eastAsia"/>
        </w:rPr>
        <w:t>【문제</w:t>
      </w:r>
      <w:r>
        <w:t xml:space="preserve">12.1】 </w:t>
      </w:r>
    </w:p>
    <w:p w14:paraId="56AF4ACF" w14:textId="77777777" w:rsidR="00F27468" w:rsidRDefault="00F27468" w:rsidP="00F27468">
      <w:pPr>
        <w:jc w:val="both"/>
      </w:pPr>
      <w:r>
        <w:t xml:space="preserve">&lt;사례&gt; </w:t>
      </w:r>
    </w:p>
    <w:p w14:paraId="3D523477" w14:textId="77777777" w:rsidR="00F27468" w:rsidRDefault="00F27468" w:rsidP="00F27468">
      <w:pPr>
        <w:jc w:val="both"/>
      </w:pPr>
      <w:r>
        <w:rPr>
          <w:rFonts w:hint="eastAsia"/>
        </w:rPr>
        <w:t>행정청</w:t>
      </w:r>
      <w:r>
        <w:t xml:space="preserve"> A는 관내에서 영업하는 甲이 관계 법령을 위반하였다는 이유로 "시정권고"를 통지하였다. 甲은 이 권고가 사실상의 강제력을 가져 자신의 영업 자유를 제한한다고 주장하며 행정심판을 청구하고자 한다. 한편, 乙은 행정청 B에게 특정 인허가를 신청하였으나, 행정청 B는 상당한 기간이 경과하였음에도 불구하고 허가나 거부 중 어떠한 처분도 하지 않고 있다. 乙은 이러한 행정청 B의 무반응에 대하여 행정심판을 통해 구제받고자 한다. 또한, 丙은 소속 공무원이었던 자로서 중앙선거관리위원회 위원장의 파면 처분에 대하여 행정심판법에 따른 행정심판을 제기하려고 한다.</w:t>
      </w:r>
    </w:p>
    <w:p w14:paraId="238E5D30" w14:textId="77777777" w:rsidR="00F27468" w:rsidRDefault="00F27468" w:rsidP="00F27468">
      <w:pPr>
        <w:jc w:val="both"/>
      </w:pPr>
    </w:p>
    <w:p w14:paraId="0D5200AD" w14:textId="77777777" w:rsidR="00F27468" w:rsidRDefault="00F27468" w:rsidP="00F27468">
      <w:pPr>
        <w:jc w:val="both"/>
      </w:pPr>
      <w:r>
        <w:t>(물음2) 乙이 행정청 B의 무반응에 대하여 제기할 수 있는 행정심판의 종류를 제시하고, 행정심판법상 "부작위"가 성립하기 위한 요건을 설명하라. 또한, 丙이 행정심판법에 따른 행정심판을 청구할 수 없는 예외적인 사</w:t>
      </w:r>
      <w:r>
        <w:rPr>
          <w:rFonts w:hint="eastAsia"/>
        </w:rPr>
        <w:t>유가</w:t>
      </w:r>
      <w:r>
        <w:t xml:space="preserve"> 존재하는지 행정심판법 제3조를 중심으로 서술하라.</w:t>
      </w:r>
    </w:p>
    <w:p w14:paraId="358AE792" w14:textId="77777777" w:rsidR="00F27468" w:rsidRDefault="00F27468" w:rsidP="00F27468">
      <w:pPr>
        <w:jc w:val="both"/>
      </w:pPr>
    </w:p>
    <w:p w14:paraId="7AC02B77" w14:textId="1DF0AF89" w:rsidR="00F27468" w:rsidRDefault="00F27468" w:rsidP="00F27468">
      <w:pPr>
        <w:jc w:val="both"/>
      </w:pPr>
    </w:p>
    <w:sectPr w:rsidR="00F274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68"/>
    <w:rsid w:val="008E6F57"/>
    <w:rsid w:val="00F2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6618"/>
  <w15:chartTrackingRefBased/>
  <w15:docId w15:val="{BC92DC63-AAAA-471D-9013-69DFCCDB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74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74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74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74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74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74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74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74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74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74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74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74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74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74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74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74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74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74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74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74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74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74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74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74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7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