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6E57" w14:textId="77777777" w:rsidR="005228E7" w:rsidRDefault="005228E7" w:rsidP="005228E7">
      <w:pPr>
        <w:jc w:val="both"/>
      </w:pPr>
      <w:r>
        <w:t>[예상][12.03-2]피청구인을 잘못 지정한 경우의 구제 절차와 피청구인의 경정 제도</w:t>
      </w:r>
    </w:p>
    <w:p w14:paraId="04159086" w14:textId="77777777" w:rsidR="005228E7" w:rsidRDefault="005228E7" w:rsidP="005228E7">
      <w:pPr>
        <w:jc w:val="both"/>
      </w:pPr>
    </w:p>
    <w:p w14:paraId="739AC677" w14:textId="77777777" w:rsidR="005228E7" w:rsidRDefault="005228E7" w:rsidP="005228E7">
      <w:pPr>
        <w:jc w:val="both"/>
      </w:pPr>
      <w:r>
        <w:rPr>
          <w:rFonts w:hint="eastAsia"/>
        </w:rPr>
        <w:t>【문제</w:t>
      </w:r>
      <w:r>
        <w:t xml:space="preserve">12.3】 </w:t>
      </w:r>
    </w:p>
    <w:p w14:paraId="48C54BF9" w14:textId="77777777" w:rsidR="005228E7" w:rsidRDefault="005228E7" w:rsidP="005228E7">
      <w:pPr>
        <w:jc w:val="both"/>
      </w:pPr>
      <w:r>
        <w:t xml:space="preserve">&lt;사례&gt; </w:t>
      </w:r>
    </w:p>
    <w:p w14:paraId="5B0BE6B3" w14:textId="77777777" w:rsidR="005228E7" w:rsidRDefault="005228E7" w:rsidP="005228E7">
      <w:pPr>
        <w:jc w:val="both"/>
      </w:pPr>
      <w:r>
        <w:rPr>
          <w:rFonts w:hint="eastAsia"/>
        </w:rPr>
        <w:t>행정청</w:t>
      </w:r>
      <w:r>
        <w:t xml:space="preserve"> A는 관내에서 식당을 운영하는 甲에게 유통기한이 지난 식재료를 사용했다는 이유로 2025년 5월 1일에 "영업정지 1개월 처분"을 내렸고, 해당 처분서는 같은 날 甲에게 도달하였다. 그러나 행정청 A는 처분서에 행정심판을 청구할 수 있는지 여부와 청구 기간에 관한 사항을 전혀 기재하지 않았다(불고지). 甲은 생업에 종사하느라 뒤늦</w:t>
      </w:r>
      <w:r>
        <w:rPr>
          <w:rFonts w:hint="eastAsia"/>
        </w:rPr>
        <w:t>게</w:t>
      </w:r>
      <w:r>
        <w:t xml:space="preserve"> 대응 방안을 찾던 중 2025년 9월 10일이 되어서야 행정심판을 청구하기로 결심하였다. 한편, 乙은 행정청 B로부터 인허가 거부처분을 받았으나, 행정심판 청구서의 피청구인을 처분청인 B가 아닌 행정심판위원회로 잘못 기재하여 제출하였다.</w:t>
      </w:r>
    </w:p>
    <w:p w14:paraId="3AB56ECA" w14:textId="77777777" w:rsidR="005228E7" w:rsidRDefault="005228E7" w:rsidP="005228E7">
      <w:pPr>
        <w:jc w:val="both"/>
      </w:pPr>
    </w:p>
    <w:p w14:paraId="795427CB" w14:textId="77777777" w:rsidR="005228E7" w:rsidRDefault="005228E7" w:rsidP="005228E7">
      <w:pPr>
        <w:jc w:val="both"/>
      </w:pPr>
      <w:r>
        <w:t>(물음2) 乙의 사례와 같이 피청구인을 잘못 지정하여 행정심판을 청구한 경우, 행정심판법상 어떠한 구제 절차가 마련되어 있는지 "피청구인의 경정" 제도를 중심으로 설명하라.</w:t>
      </w:r>
    </w:p>
    <w:p w14:paraId="69FE6B47" w14:textId="77777777" w:rsidR="005228E7" w:rsidRDefault="005228E7" w:rsidP="005228E7">
      <w:pPr>
        <w:jc w:val="both"/>
      </w:pPr>
    </w:p>
    <w:p w14:paraId="6B6552AB" w14:textId="2C879F7E" w:rsidR="005228E7" w:rsidRDefault="005228E7" w:rsidP="005228E7">
      <w:pPr>
        <w:jc w:val="both"/>
      </w:pPr>
    </w:p>
    <w:sectPr w:rsidR="005228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E7"/>
    <w:rsid w:val="005228E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4353"/>
  <w15:chartTrackingRefBased/>
  <w15:docId w15:val="{C2282591-05D5-4DC8-AC1D-B0734ED6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28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28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8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8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8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8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8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8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28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28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28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28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28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28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28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28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28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28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8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2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28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8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8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28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