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9777" w14:textId="77777777" w:rsidR="00662C85" w:rsidRDefault="00662C85" w:rsidP="00662C85">
      <w:pPr>
        <w:jc w:val="both"/>
      </w:pPr>
      <w:r>
        <w:t>[기출][2010-1]대여금청구소송에서 금전대여사실의 존부 판단에 적용되는 자유심증주의의 원칙</w:t>
      </w:r>
    </w:p>
    <w:p w14:paraId="40BC88B9" w14:textId="77777777" w:rsidR="00662C85" w:rsidRDefault="00662C85" w:rsidP="00662C85">
      <w:pPr>
        <w:jc w:val="both"/>
      </w:pPr>
    </w:p>
    <w:p w14:paraId="1BD5E88B" w14:textId="77777777" w:rsidR="00662C85" w:rsidRDefault="00662C85" w:rsidP="00662C85">
      <w:pPr>
        <w:jc w:val="both"/>
      </w:pPr>
      <w:r>
        <w:rPr>
          <w:rFonts w:hint="eastAsia"/>
        </w:rPr>
        <w:t>【문제</w:t>
      </w:r>
      <w:r>
        <w:t>1】 대여금청구소송에서 당사자 간에 금전대여사실에 대하여 다툼이 있고 이에 관하여는 증거조사의 결과와 변론에서 나타난 각종 자료가 있다. 이를 기초로 법관이 위 금전대여사실주장이 진실한지 아닌지를 판단함에 있어서 적용되는 원칙에 관하여 논하시오. (50점)</w:t>
      </w:r>
    </w:p>
    <w:p w14:paraId="7846CCF9" w14:textId="77777777" w:rsidR="00662C85" w:rsidRDefault="00662C85" w:rsidP="00662C85">
      <w:pPr>
        <w:jc w:val="both"/>
      </w:pPr>
    </w:p>
    <w:p w14:paraId="4F325A4D" w14:textId="77777777" w:rsidR="00662C85" w:rsidRDefault="00662C85" w:rsidP="00662C85">
      <w:pPr>
        <w:jc w:val="both"/>
      </w:pPr>
    </w:p>
    <w:sectPr w:rsidR="00662C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85"/>
    <w:rsid w:val="00662C8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576B"/>
  <w15:chartTrackingRefBased/>
  <w15:docId w15:val="{31B134C3-D921-4F7C-B12F-C0945664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2C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2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2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2C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2C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2C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2C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2C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2C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2C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2C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2C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2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2C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2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2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2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2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2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2C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2C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2C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2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2C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2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