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A7DA" w14:textId="77777777" w:rsidR="00026281" w:rsidRDefault="00026281" w:rsidP="00026281">
      <w:pPr>
        <w:jc w:val="both"/>
      </w:pPr>
      <w:r>
        <w:t>[기출][2011-1]교통사고 손해배상청구에서 개별 항목별 청구액을 초과하여 인정한 판결의 적법성 여부</w:t>
      </w:r>
    </w:p>
    <w:p w14:paraId="67304982" w14:textId="77777777" w:rsidR="00026281" w:rsidRDefault="00026281" w:rsidP="00026281">
      <w:pPr>
        <w:jc w:val="both"/>
      </w:pPr>
    </w:p>
    <w:p w14:paraId="4280EEF9" w14:textId="77777777" w:rsidR="00026281" w:rsidRDefault="00026281" w:rsidP="00026281">
      <w:pPr>
        <w:jc w:val="both"/>
      </w:pPr>
      <w:r>
        <w:rPr>
          <w:rFonts w:hint="eastAsia"/>
        </w:rPr>
        <w:t>【문제</w:t>
      </w:r>
      <w:r>
        <w:t xml:space="preserve">1】 교통사고 피해자인 甲은 가해자인 乙을 상대로 손해배상청구의 소를 제기하면서 적극적 손해, 소극적 손해, 위자료 각 1,000만 원씩 합계 3,000만 원을 청구하였다. 그런데 법원은 피고에 대하여 적극적 손해 1,500만 원, 소극적 손해 1,000만 원, 위자료 500만원 합계 3,000만 원을 이행하라는 판결을 선고하였다. 이 판결의 </w:t>
      </w:r>
      <w:r>
        <w:rPr>
          <w:rFonts w:hint="eastAsia"/>
        </w:rPr>
        <w:t>적법성</w:t>
      </w:r>
      <w:r>
        <w:t xml:space="preserve"> 여부에 대하여 논하시오. (50점)</w:t>
      </w:r>
    </w:p>
    <w:p w14:paraId="675C8BC3" w14:textId="77777777" w:rsidR="00026281" w:rsidRDefault="00026281" w:rsidP="00026281">
      <w:pPr>
        <w:jc w:val="both"/>
      </w:pPr>
    </w:p>
    <w:p w14:paraId="646AB8B7" w14:textId="77777777" w:rsidR="00026281" w:rsidRDefault="00026281" w:rsidP="00026281">
      <w:pPr>
        <w:jc w:val="both"/>
      </w:pPr>
    </w:p>
    <w:sectPr w:rsidR="000262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81"/>
    <w:rsid w:val="00026281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84249"/>
  <w15:chartTrackingRefBased/>
  <w15:docId w15:val="{945A4A06-253C-4C92-964B-D69D693D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28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2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28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28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28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2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2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2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2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2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2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28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2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2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2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2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2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2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2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6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