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004C9" w14:textId="77777777" w:rsidR="009661C7" w:rsidRDefault="009661C7" w:rsidP="009661C7">
      <w:pPr>
        <w:jc w:val="both"/>
      </w:pPr>
      <w:r>
        <w:t>[기출][2012-1]채권자대위소송의 판결이 확정된 경우 그 기판력이 채무자에게 미치는지 여부</w:t>
      </w:r>
    </w:p>
    <w:p w14:paraId="48E463B8" w14:textId="77777777" w:rsidR="009661C7" w:rsidRDefault="009661C7" w:rsidP="009661C7">
      <w:pPr>
        <w:jc w:val="both"/>
      </w:pPr>
    </w:p>
    <w:p w14:paraId="7CD2555E" w14:textId="77777777" w:rsidR="009661C7" w:rsidRDefault="009661C7" w:rsidP="009661C7">
      <w:pPr>
        <w:jc w:val="both"/>
      </w:pPr>
      <w:r>
        <w:rPr>
          <w:rFonts w:hint="eastAsia"/>
        </w:rPr>
        <w:t>【문제</w:t>
      </w:r>
      <w:r>
        <w:t>1】 A는 甲에 대하여 1년치 임금을 체불하고 있었다. A는 자신의 명의로 되어 있는 재산이 거의 없고 다만 乙에 대하여 매매대금 채권을 가지고 있을 뿐이었는데, 이 채권의 변제기가 도래하였는데도 그 지급을 청구하지 않았다. 이에 甲은 A가 乙에 대하여 갖고 있는 위 채권을 대위행사하여 乙을 피고로 하는 소를 제기하였다. 그러나 甲의 청구를 기각하는 판</w:t>
      </w:r>
      <w:r>
        <w:rPr>
          <w:rFonts w:hint="eastAsia"/>
        </w:rPr>
        <w:t>결이</w:t>
      </w:r>
      <w:r>
        <w:t xml:space="preserve"> 선고되었다. 승소 가능성이 적다고 판단한 甲은 항소를 제기하지 않았고, 결국 판결이 확정되었다. 이 판결의 기판력이 A에게도 미치는지 논하시오. (50점)</w:t>
      </w:r>
    </w:p>
    <w:p w14:paraId="2C21FAF3" w14:textId="77777777" w:rsidR="009661C7" w:rsidRDefault="009661C7" w:rsidP="009661C7">
      <w:pPr>
        <w:jc w:val="both"/>
      </w:pPr>
    </w:p>
    <w:p w14:paraId="2EA5033C" w14:textId="77777777" w:rsidR="009661C7" w:rsidRDefault="009661C7" w:rsidP="009661C7">
      <w:pPr>
        <w:jc w:val="both"/>
      </w:pPr>
    </w:p>
    <w:sectPr w:rsidR="009661C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1C7"/>
    <w:rsid w:val="008E6F57"/>
    <w:rsid w:val="0096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073F"/>
  <w15:chartTrackingRefBased/>
  <w15:docId w15:val="{231D51EB-1587-4758-9EFA-49E72ADAC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661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66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661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661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661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661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661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661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661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661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661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661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66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66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66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66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661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661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661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66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661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661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66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661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661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661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66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661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661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