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4B0D" w14:textId="77777777" w:rsidR="00F32C85" w:rsidRDefault="00F32C85" w:rsidP="00F32C85">
      <w:pPr>
        <w:jc w:val="both"/>
      </w:pPr>
      <w:r>
        <w:t>[기출][2014-2]해고 후 임금 등을 수령하고 3년이 경과하여 제기한 소송의 실효 여부</w:t>
      </w:r>
    </w:p>
    <w:p w14:paraId="02EC044C" w14:textId="77777777" w:rsidR="00F32C85" w:rsidRDefault="00F32C85" w:rsidP="00F32C85">
      <w:pPr>
        <w:jc w:val="both"/>
      </w:pPr>
    </w:p>
    <w:p w14:paraId="336D9188" w14:textId="77777777" w:rsidR="00F32C85" w:rsidRDefault="00F32C85" w:rsidP="00F32C85">
      <w:pPr>
        <w:jc w:val="both"/>
      </w:pPr>
      <w:r>
        <w:rPr>
          <w:rFonts w:hint="eastAsia"/>
        </w:rPr>
        <w:t>【문제</w:t>
      </w:r>
      <w:r>
        <w:t>2】 甲은 乙회사로부터 해고처분을 받고 임금과 퇴직금을 아무런 조건 없이 모두 수령하였다. 甲이 소를 제기하는 데에 특별한 장애사유가 없었음에도 3년여가 경과한 뒤 乙회사의 해고처분이 부당하다고 주장하면서 해고일로부터 정년 시까지의 임금의 지급을 구하는 소를 제기한 경우에 소권의 실효 여부에 관하여 설명하시오. (25점)</w:t>
      </w:r>
    </w:p>
    <w:p w14:paraId="0D74D18C" w14:textId="77777777" w:rsidR="00F32C85" w:rsidRDefault="00F32C85" w:rsidP="00F32C85">
      <w:pPr>
        <w:jc w:val="both"/>
      </w:pPr>
    </w:p>
    <w:p w14:paraId="5597A8BF" w14:textId="77777777" w:rsidR="00F32C85" w:rsidRDefault="00F32C85" w:rsidP="00F32C85">
      <w:pPr>
        <w:jc w:val="both"/>
      </w:pPr>
    </w:p>
    <w:sectPr w:rsidR="00F32C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85"/>
    <w:rsid w:val="008E6F57"/>
    <w:rsid w:val="00F3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5EB3"/>
  <w15:chartTrackingRefBased/>
  <w15:docId w15:val="{BE41A4E4-2D5D-4846-9996-A55E6B71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2C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2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2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2C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2C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2C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2C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2C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2C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2C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2C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2C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2C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2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2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2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2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2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2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2C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2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2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2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2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