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61D0" w14:textId="77777777" w:rsidR="00740C47" w:rsidRDefault="00740C47" w:rsidP="00740C47">
      <w:pPr>
        <w:jc w:val="both"/>
      </w:pPr>
      <w:r>
        <w:t>[기출][2015-3]종국판결이 있은 뒤에 소를 취하한 자가 동일한 소를 제기하지 못하도록 하는 재소금지의 원칙</w:t>
      </w:r>
    </w:p>
    <w:p w14:paraId="72AC2387" w14:textId="77777777" w:rsidR="00740C47" w:rsidRDefault="00740C47" w:rsidP="00740C47">
      <w:pPr>
        <w:jc w:val="both"/>
      </w:pPr>
    </w:p>
    <w:p w14:paraId="50DBF05F" w14:textId="77777777" w:rsidR="00740C47" w:rsidRDefault="00740C47" w:rsidP="00740C47">
      <w:pPr>
        <w:jc w:val="both"/>
      </w:pPr>
      <w:r>
        <w:rPr>
          <w:rFonts w:hint="eastAsia"/>
        </w:rPr>
        <w:t>【문제</w:t>
      </w:r>
      <w:r>
        <w:t>3】 재소의 금지에 대하여 설명하시오. (25점)</w:t>
      </w:r>
    </w:p>
    <w:p w14:paraId="20A14FF2" w14:textId="77777777" w:rsidR="00740C47" w:rsidRDefault="00740C47" w:rsidP="00740C47">
      <w:pPr>
        <w:jc w:val="both"/>
      </w:pPr>
    </w:p>
    <w:p w14:paraId="6784ABD0" w14:textId="77777777" w:rsidR="00740C47" w:rsidRDefault="00740C47" w:rsidP="00740C47">
      <w:pPr>
        <w:jc w:val="both"/>
      </w:pPr>
    </w:p>
    <w:sectPr w:rsidR="00740C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47"/>
    <w:rsid w:val="00740C47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D927"/>
  <w15:chartTrackingRefBased/>
  <w15:docId w15:val="{51463B89-CA94-4CA4-825C-FABD32D1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40C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0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0C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40C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0C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0C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0C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0C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0C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40C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40C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40C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40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40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40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40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40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40C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40C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40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0C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40C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0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40C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0C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0C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0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40C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0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