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58A2" w:rsidRDefault="002B58A2" w:rsidP="002B58A2">
      <w:pPr>
        <w:jc w:val="both"/>
      </w:pPr>
      <w:r>
        <w:t>[기출][2016-1-2]대법원의 파기환송판결에 의해 사건이 다시 계속된 경우 변호사의 소송대리권 부활 여부</w:t>
      </w:r>
    </w:p>
    <w:p w:rsidR="002B58A2" w:rsidRDefault="002B58A2" w:rsidP="002B58A2">
      <w:pPr>
        <w:jc w:val="both"/>
      </w:pPr>
    </w:p>
    <w:p w:rsidR="002B58A2" w:rsidRDefault="002B58A2" w:rsidP="002B58A2">
      <w:pPr>
        <w:jc w:val="both"/>
      </w:pPr>
      <w:r>
        <w:rPr>
          <w:rFonts w:hint="eastAsia"/>
        </w:rPr>
        <w:t>【문제</w:t>
      </w:r>
      <w:r>
        <w:t>1】 乙회사의 근로자인 甲이 업무 중 상해를 입어 乙회사를 상대로 손해배상청구의 소를 제기하고자 한다. 다음 물음에 대하여 답하시오. (50점) (아래 각 설문은 상호 무관함)</w:t>
      </w:r>
    </w:p>
    <w:p w:rsidR="002B58A2" w:rsidRDefault="002B58A2" w:rsidP="002B58A2">
      <w:pPr>
        <w:jc w:val="both"/>
      </w:pPr>
    </w:p>
    <w:p w:rsidR="002B58A2" w:rsidRDefault="002B58A2" w:rsidP="002B58A2">
      <w:pPr>
        <w:jc w:val="both"/>
      </w:pPr>
      <w:r>
        <w:t xml:space="preserve">(물음2) 위와는 달리, 甲이 乙회사를 상대로 손해배상청구의 소를 제기하였다. 그 소송의 항소심에서 변호사 丁이 甲의 소송대리인이었는데, 대법원의 파기환송판결에 </w:t>
      </w:r>
      <w:r>
        <w:rPr>
          <w:rFonts w:hint="eastAsia"/>
        </w:rPr>
        <w:t>의하여</w:t>
      </w:r>
      <w:r>
        <w:t xml:space="preserve"> 사건이 항소심에 다시 계속하게 되었다면 위 丁의 소송대리권은 어떻게 되는지를 설명하시오. (15점)</w:t>
      </w:r>
    </w:p>
    <w:p w:rsidR="002B58A2" w:rsidRDefault="002B58A2" w:rsidP="002B58A2">
      <w:pPr>
        <w:jc w:val="both"/>
      </w:pPr>
    </w:p>
    <w:p w:rsidR="002B58A2" w:rsidRDefault="002B58A2" w:rsidP="002B58A2">
      <w:pPr>
        <w:jc w:val="both"/>
      </w:pPr>
    </w:p>
    <w:sectPr w:rsidR="002B58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A2"/>
    <w:rsid w:val="002B58A2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3616DA-6A35-4403-9CBA-2237D0FC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58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8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8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8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8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8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8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8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58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B58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B58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B5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B5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B5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B5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B5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B58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B58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8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58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58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8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8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58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