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3255" w:rsidRDefault="00183255" w:rsidP="00183255">
      <w:pPr>
        <w:jc w:val="both"/>
      </w:pPr>
      <w:r>
        <w:t>[기출][2018-1-1]조합규약상 소제기 금지규정의 유효성과 부제소특약의 적법성</w:t>
      </w:r>
    </w:p>
    <w:p w:rsidR="00183255" w:rsidRDefault="00183255" w:rsidP="00183255">
      <w:pPr>
        <w:jc w:val="both"/>
      </w:pPr>
    </w:p>
    <w:p w:rsidR="00183255" w:rsidRDefault="00183255" w:rsidP="00183255">
      <w:pPr>
        <w:jc w:val="both"/>
      </w:pPr>
      <w:r>
        <w:rPr>
          <w:rFonts w:hint="eastAsia"/>
        </w:rPr>
        <w:t>【문제</w:t>
      </w:r>
      <w:r>
        <w:t>1】 甲은 乙 노동조합(이하 ‘乙’이라 한다)의 조합원이다. 아래의 각 물음에 관하여 논하시오. (단, 아래의 각 물음은 상호 무관함) (50점)</w:t>
      </w:r>
    </w:p>
    <w:p w:rsidR="00183255" w:rsidRDefault="00183255" w:rsidP="00183255">
      <w:pPr>
        <w:jc w:val="both"/>
      </w:pPr>
    </w:p>
    <w:p w:rsidR="00183255" w:rsidRDefault="00183255" w:rsidP="00183255">
      <w:pPr>
        <w:jc w:val="both"/>
      </w:pPr>
      <w:r>
        <w:t>(물음1) 乙은 조합규약에 근거하여 자체적으로 만든 신분보장대책기금관리규정(이하 ‘관리규정’이라 한다)상의 위로금 지급을 둘러싼 乙과 조합원 간의 분쟁에 관하여 乙을 상대로 일절 소송을 제기할 수 없다는 규정을 두고 있</w:t>
      </w:r>
      <w:r>
        <w:rPr>
          <w:rFonts w:hint="eastAsia"/>
        </w:rPr>
        <w:t>다</w:t>
      </w:r>
      <w:r>
        <w:t>. 그 후 甲이 乙에 대하여 위 관리규정에 따른 위로금의 지급을 요구하였으나 乙이 이를 거절하였다. 이에 甲은 乙을 피고로 하여 위 관리규정에 따른 위로금 지급을 구하는 소를 법원에 제기하였다. 위 소송에서 乙은 甲이 위 관리규정상의 소제기 금지규정에 위반하여 소를 제기한 것이므로 위 소는 소의 이익이 없다고 주장하고 있다. 乙의 주장은 타당한가? (30점)</w:t>
      </w:r>
    </w:p>
    <w:p w:rsidR="00183255" w:rsidRDefault="00183255" w:rsidP="00183255">
      <w:pPr>
        <w:jc w:val="both"/>
      </w:pPr>
    </w:p>
    <w:p w:rsidR="00183255" w:rsidRDefault="00183255" w:rsidP="00183255">
      <w:pPr>
        <w:jc w:val="both"/>
      </w:pPr>
    </w:p>
    <w:sectPr w:rsidR="001832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55"/>
    <w:rsid w:val="0018325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6BC71-1F4F-424C-8DB4-404F6880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32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32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32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32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32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32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32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32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32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32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32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32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32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3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3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32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32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32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32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3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