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1EFC" w14:textId="77777777" w:rsidR="00F70B05" w:rsidRDefault="00F70B05" w:rsidP="00F70B05">
      <w:pPr>
        <w:jc w:val="both"/>
      </w:pPr>
      <w:r>
        <w:t>[기출][2020-3]유사필수적 공동소송의 의의, 성립요건 및 소송수행상의 특징</w:t>
      </w:r>
    </w:p>
    <w:p w14:paraId="1DBAFE44" w14:textId="77777777" w:rsidR="00F70B05" w:rsidRDefault="00F70B05" w:rsidP="00F70B05">
      <w:pPr>
        <w:jc w:val="both"/>
      </w:pPr>
    </w:p>
    <w:p w14:paraId="417F51C2" w14:textId="77777777" w:rsidR="00F70B05" w:rsidRDefault="00F70B05" w:rsidP="00F70B05">
      <w:pPr>
        <w:jc w:val="both"/>
      </w:pPr>
      <w:r>
        <w:rPr>
          <w:rFonts w:hint="eastAsia"/>
        </w:rPr>
        <w:t>【문제</w:t>
      </w:r>
      <w:r>
        <w:t>3】 유사필수적 공동소송에 관하여 설명하시오. (25점)</w:t>
      </w:r>
    </w:p>
    <w:p w14:paraId="0CA3AFA9" w14:textId="77777777" w:rsidR="00F70B05" w:rsidRDefault="00F70B05" w:rsidP="00F70B05">
      <w:pPr>
        <w:jc w:val="both"/>
      </w:pPr>
    </w:p>
    <w:p w14:paraId="68FC43FC" w14:textId="4C705618" w:rsidR="00F70B05" w:rsidRDefault="00F70B05" w:rsidP="00F70B05">
      <w:pPr>
        <w:jc w:val="both"/>
      </w:pPr>
    </w:p>
    <w:sectPr w:rsidR="00F70B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05"/>
    <w:rsid w:val="008E6F57"/>
    <w:rsid w:val="00F7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4D76"/>
  <w15:chartTrackingRefBased/>
  <w15:docId w15:val="{169A73C1-E3EE-43AF-9379-36369085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70B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0B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0B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0B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0B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0B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0B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0B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70B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70B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70B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70B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70B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70B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70B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70B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70B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70B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7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0B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70B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0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70B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0B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0B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0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70B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0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