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0925" w14:textId="77777777" w:rsidR="00094E59" w:rsidRDefault="00094E59" w:rsidP="00094E59">
      <w:pPr>
        <w:jc w:val="both"/>
      </w:pPr>
      <w:r>
        <w:t>[기출][2024-2]당사자가 변론기일의 지정을 신청할 수 있는 구체적인 경우에 관한 설명</w:t>
      </w:r>
    </w:p>
    <w:p w14:paraId="0991ACAF" w14:textId="77777777" w:rsidR="00094E59" w:rsidRDefault="00094E59" w:rsidP="00094E59">
      <w:pPr>
        <w:jc w:val="both"/>
      </w:pPr>
    </w:p>
    <w:p w14:paraId="349A59B1" w14:textId="77777777" w:rsidR="00094E59" w:rsidRDefault="00094E59" w:rsidP="00094E59">
      <w:pPr>
        <w:jc w:val="both"/>
      </w:pPr>
      <w:r>
        <w:rPr>
          <w:rFonts w:hint="eastAsia"/>
        </w:rPr>
        <w:t>【문제</w:t>
      </w:r>
      <w:r>
        <w:t>2】 당사자가 변론기일의 지정을 신청할 수 있는 경우에 관하여 설명하시오. (25점)</w:t>
      </w:r>
    </w:p>
    <w:p w14:paraId="206FA3E9" w14:textId="77777777" w:rsidR="00094E59" w:rsidRDefault="00094E59" w:rsidP="00094E59">
      <w:pPr>
        <w:jc w:val="both"/>
      </w:pPr>
    </w:p>
    <w:p w14:paraId="75EFD57E" w14:textId="77777777" w:rsidR="00094E59" w:rsidRDefault="00094E59" w:rsidP="00094E59">
      <w:pPr>
        <w:jc w:val="both"/>
      </w:pPr>
    </w:p>
    <w:sectPr w:rsidR="00094E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59"/>
    <w:rsid w:val="00094E59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DD78"/>
  <w15:chartTrackingRefBased/>
  <w15:docId w15:val="{86FD5B96-FB15-40B2-8684-97D6AE5D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4E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4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4E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4E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4E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4E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4E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4E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4E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4E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4E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4E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4E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4E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4E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4E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4E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4E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4E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4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4E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4E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4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4E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4E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4E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4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4E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4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