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69D5" w:rsidRDefault="00D169D5" w:rsidP="00D169D5">
      <w:pPr>
        <w:jc w:val="both"/>
      </w:pPr>
      <w:r>
        <w:t>[예상][05.04-1]구실체법설에 따른 전후소 소송물의 동일성 여부 및 후소의 적법성 판단</w:t>
      </w:r>
    </w:p>
    <w:p w:rsidR="00D169D5" w:rsidRDefault="00D169D5" w:rsidP="00D169D5">
      <w:pPr>
        <w:jc w:val="both"/>
      </w:pPr>
    </w:p>
    <w:p w:rsidR="00D169D5" w:rsidRDefault="00D169D5" w:rsidP="00D169D5">
      <w:pPr>
        <w:jc w:val="both"/>
      </w:pPr>
      <w:r>
        <w:rPr>
          <w:rFonts w:hint="eastAsia"/>
        </w:rPr>
        <w:t>【문제</w:t>
      </w:r>
      <w:r>
        <w:t>5.4】</w:t>
      </w:r>
    </w:p>
    <w:p w:rsidR="00D169D5" w:rsidRDefault="00D169D5" w:rsidP="00D169D5">
      <w:pPr>
        <w:jc w:val="both"/>
      </w:pPr>
      <w:r>
        <w:t>&lt;사례&gt;</w:t>
      </w:r>
    </w:p>
    <w:p w:rsidR="00D169D5" w:rsidRDefault="00D169D5" w:rsidP="00D169D5">
      <w:pPr>
        <w:jc w:val="both"/>
      </w:pPr>
      <w:r>
        <w:rPr>
          <w:rFonts w:hint="eastAsia"/>
        </w:rPr>
        <w:t>甲은</w:t>
      </w:r>
      <w:r>
        <w:t xml:space="preserve"> 乙에게 자신의 소유인 X 토지를 매도하기로 하는 계약을 체결하고 소유권이전등기를 마쳐주었다. 그러나 이후 甲은 乙의 기망행위를 이유로 위 매매계약을 적법하게 취소하였다고 주장하며, 乙을 상대로 소유권이전등기의 말소를 구하는 소를 제기하였다. 이 소송에서 甲은 취소에 따른 원상회복으로서의 소유권귀속에 기한 물권적 청구권을 원인으로 내</w:t>
      </w:r>
      <w:r>
        <w:rPr>
          <w:rFonts w:hint="eastAsia"/>
        </w:rPr>
        <w:t>세웠다</w:t>
      </w:r>
      <w:r>
        <w:t>.</w:t>
      </w:r>
    </w:p>
    <w:p w:rsidR="00D169D5" w:rsidRDefault="00D169D5" w:rsidP="00D169D5">
      <w:pPr>
        <w:jc w:val="both"/>
      </w:pPr>
      <w:r>
        <w:rPr>
          <w:rFonts w:hint="eastAsia"/>
        </w:rPr>
        <w:t>심리</w:t>
      </w:r>
      <w:r>
        <w:t xml:space="preserve"> 결과 甲의 청구는 기각되었고 판결은 확정되었다. 그 후 甲은 다시 乙을 상대로 동일한 X 토지에 대하여 소유권이전등기말소청구의 소를 제기하면서, 이번에는 매매계약이 처음부터 무효였다는 점을 근거로 무효인 계약에 따른 원상회복청구권을 주장하였다.</w:t>
      </w:r>
    </w:p>
    <w:p w:rsidR="00D169D5" w:rsidRDefault="00D169D5" w:rsidP="00D169D5">
      <w:pPr>
        <w:jc w:val="both"/>
      </w:pPr>
      <w:r>
        <w:rPr>
          <w:rFonts w:hint="eastAsia"/>
        </w:rPr>
        <w:t>한편</w:t>
      </w:r>
      <w:r>
        <w:t xml:space="preserve">, 丙은 丁이 운전하던 차량에 치여 부상을 당하였다. 丙은 丁을 상대로 치료비 1,000만 원의 지급을 구하는 소를 제기하였다. 이 소송의 변론 과정에서 丙은 丁의 과실에 의한 불법행위책임만을 </w:t>
      </w:r>
      <w:r>
        <w:rPr>
          <w:rFonts w:hint="eastAsia"/>
        </w:rPr>
        <w:t>주장하였으나</w:t>
      </w:r>
      <w:r>
        <w:t>, 법원은 丁이 운행공용자로서 자동차손해배상 보장법에 따른 책임을 질 수도 있다고 판단하였다.</w:t>
      </w:r>
    </w:p>
    <w:p w:rsidR="00D169D5" w:rsidRDefault="00D169D5" w:rsidP="00D169D5">
      <w:pPr>
        <w:jc w:val="both"/>
      </w:pPr>
    </w:p>
    <w:p w:rsidR="00D169D5" w:rsidRDefault="00D169D5" w:rsidP="00D169D5">
      <w:pPr>
        <w:jc w:val="both"/>
      </w:pPr>
      <w:r>
        <w:t>(물음1) 甲이 제기한 후소의 소송물이 전소의 소송물과 동일한지 여부에 대하여 판례의 입장인 구실체법설(구이론)에 근거하여 논하고, 이에 따른 후소의 적법성 여부를 판단하시오.</w:t>
      </w:r>
    </w:p>
    <w:p w:rsidR="00D169D5" w:rsidRDefault="00D169D5" w:rsidP="00D169D5">
      <w:pPr>
        <w:jc w:val="both"/>
      </w:pPr>
    </w:p>
    <w:p w:rsidR="00D169D5" w:rsidRDefault="00D169D5" w:rsidP="00D169D5">
      <w:pPr>
        <w:jc w:val="both"/>
      </w:pPr>
    </w:p>
    <w:sectPr w:rsidR="00D169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D5"/>
    <w:rsid w:val="008E6F57"/>
    <w:rsid w:val="00D1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8CA0D-34BC-466B-B425-F1F2263E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69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69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69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69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69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69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69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69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69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69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69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6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6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6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6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6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69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69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69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69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69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69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69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69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6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