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490F" w:rsidRDefault="00C0490F" w:rsidP="00C0490F">
      <w:pPr>
        <w:jc w:val="both"/>
      </w:pPr>
      <w:r>
        <w:t>[예상][05.05-1]채무부존재확인의 소의 중복소제기 금지 위반 여부 및 판결의 형식</w:t>
      </w:r>
    </w:p>
    <w:p w:rsidR="00C0490F" w:rsidRDefault="00C0490F" w:rsidP="00C0490F">
      <w:pPr>
        <w:jc w:val="both"/>
      </w:pPr>
    </w:p>
    <w:p w:rsidR="00C0490F" w:rsidRDefault="00C0490F" w:rsidP="00C0490F">
      <w:pPr>
        <w:jc w:val="both"/>
      </w:pPr>
      <w:r>
        <w:rPr>
          <w:rFonts w:hint="eastAsia"/>
        </w:rPr>
        <w:t>【문제</w:t>
      </w:r>
      <w:r>
        <w:t>5.5】</w:t>
      </w:r>
    </w:p>
    <w:p w:rsidR="00C0490F" w:rsidRDefault="00C0490F" w:rsidP="00C0490F">
      <w:pPr>
        <w:jc w:val="both"/>
      </w:pPr>
      <w:r>
        <w:t>&lt;사례&gt;</w:t>
      </w:r>
    </w:p>
    <w:p w:rsidR="00C0490F" w:rsidRDefault="00C0490F" w:rsidP="00C0490F">
      <w:pPr>
        <w:jc w:val="both"/>
      </w:pPr>
      <w:r>
        <w:rPr>
          <w:rFonts w:hint="eastAsia"/>
        </w:rPr>
        <w:t>甲은</w:t>
      </w:r>
      <w:r>
        <w:t xml:space="preserve"> 乙을 상대로 대여금 5,000만 원의 지급을 구하는 소를 서울중앙지방법원에 제기하였다. 甲이 제출한 소장 부본은 2023. 5. 1. 乙에게 적법하게 송달되었다. 그런데 乙은 위 소송이 진행 중임에도 불구하고, 2023. 6. 1. 역으로 甲을 상대로 하여 동일한 대여금 채무가 존재하지 아니한다는 채무부존재확인의 소를 수원지방법원에 제기</w:t>
      </w:r>
      <w:r>
        <w:rPr>
          <w:rFonts w:hint="eastAsia"/>
        </w:rPr>
        <w:t>하였다</w:t>
      </w:r>
      <w:r>
        <w:t>.</w:t>
      </w:r>
    </w:p>
    <w:p w:rsidR="00C0490F" w:rsidRDefault="00C0490F" w:rsidP="00C0490F">
      <w:pPr>
        <w:jc w:val="both"/>
      </w:pPr>
      <w:r>
        <w:rPr>
          <w:rFonts w:hint="eastAsia"/>
        </w:rPr>
        <w:t>한편</w:t>
      </w:r>
      <w:r>
        <w:t>, A는 B를 상대로 건물철거 및 토지인도소송을 제기하여 승소 판결을 받았고 이 판결은 확정되었다. 그 후 B는 해당 토지의 점유를 계속하면서 건물을 제3자인 C에게 매도하고 소유권이전등기를 마쳐주었다. 이에 A는 다시 C를 상대로 건물철거를 구하는 소를 제기하고자 한다.</w:t>
      </w:r>
    </w:p>
    <w:p w:rsidR="00C0490F" w:rsidRDefault="00C0490F" w:rsidP="00C0490F">
      <w:pPr>
        <w:jc w:val="both"/>
      </w:pPr>
      <w:r>
        <w:rPr>
          <w:rFonts w:hint="eastAsia"/>
        </w:rPr>
        <w:t>또한</w:t>
      </w:r>
      <w:r>
        <w:t>, 丙은 丁을 상대로 손해배상청구의 소를 제기하면서 소장에 청구금액을 1억 원으로 기재하였다. 소송 계속 중 丙은 동일한 사고로 인한 손해액이 사실은 2억 원임을 알게 되었고, 이미 제기한 소송의 청구취지를 확장하지 않은 채 나머지 1억 원에 대하여 별개의 소를 추가로 제기하였다.</w:t>
      </w:r>
    </w:p>
    <w:p w:rsidR="00C0490F" w:rsidRDefault="00C0490F" w:rsidP="00C0490F">
      <w:pPr>
        <w:jc w:val="both"/>
      </w:pPr>
    </w:p>
    <w:p w:rsidR="00C0490F" w:rsidRDefault="00C0490F" w:rsidP="00C0490F">
      <w:pPr>
        <w:jc w:val="both"/>
      </w:pPr>
      <w:r>
        <w:t>(물음1) 乙이 甲을 상대로 제기한 채무부존재확인의 소가 민사소송법 제259조의 중복소제기 금지 원칙에 위반되는지 여부를 판단하고, 만약 위반된다면 수원지방법원이 내려야 할 판결의 형식에 대하여 논하시오.</w:t>
      </w:r>
    </w:p>
    <w:p w:rsidR="00C0490F" w:rsidRDefault="00C0490F" w:rsidP="00C0490F">
      <w:pPr>
        <w:jc w:val="both"/>
      </w:pPr>
    </w:p>
    <w:p w:rsidR="00C0490F" w:rsidRDefault="00C0490F" w:rsidP="00C0490F">
      <w:pPr>
        <w:jc w:val="both"/>
      </w:pPr>
    </w:p>
    <w:sectPr w:rsidR="00C049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0F"/>
    <w:rsid w:val="008E6F57"/>
    <w:rsid w:val="00C0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049D9-6618-4F82-B909-63DB8420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49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49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49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49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49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49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49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49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49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49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49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4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4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4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4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4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49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49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49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49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49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49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49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49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4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