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3F77" w14:textId="77777777" w:rsidR="00024A8C" w:rsidRDefault="00024A8C" w:rsidP="00024A8C">
      <w:pPr>
        <w:jc w:val="both"/>
      </w:pPr>
      <w:r>
        <w:t>[예상][15.02-1]상고이유서 제출기한 도과 후 제출된 절대적 상고이유의 심리 가능성 여부</w:t>
      </w:r>
    </w:p>
    <w:p w14:paraId="6C0E7CF0" w14:textId="77777777" w:rsidR="00024A8C" w:rsidRDefault="00024A8C" w:rsidP="00024A8C">
      <w:pPr>
        <w:jc w:val="both"/>
      </w:pPr>
    </w:p>
    <w:p w14:paraId="02DBF2AF" w14:textId="77777777" w:rsidR="00024A8C" w:rsidRDefault="00024A8C" w:rsidP="00024A8C">
      <w:pPr>
        <w:jc w:val="both"/>
      </w:pPr>
      <w:r>
        <w:rPr>
          <w:rFonts w:hint="eastAsia"/>
        </w:rPr>
        <w:t>【문제</w:t>
      </w:r>
      <w:r>
        <w:t>15.2】</w:t>
      </w:r>
    </w:p>
    <w:p w14:paraId="4AF9E1D7" w14:textId="77777777" w:rsidR="00024A8C" w:rsidRDefault="00024A8C" w:rsidP="00024A8C">
      <w:pPr>
        <w:jc w:val="both"/>
      </w:pPr>
      <w:r>
        <w:t>&lt;사례&gt;</w:t>
      </w:r>
    </w:p>
    <w:p w14:paraId="6F59CCC5" w14:textId="77777777" w:rsidR="00024A8C" w:rsidRDefault="00024A8C" w:rsidP="00024A8C">
      <w:pPr>
        <w:jc w:val="both"/>
      </w:pPr>
      <w:r>
        <w:rPr>
          <w:rFonts w:hint="eastAsia"/>
        </w:rPr>
        <w:t>甲은</w:t>
      </w:r>
      <w:r>
        <w:t xml:space="preserve"> 乙을 상대로 대여금 청구소송을 제기하여 제1심과 항소심에서 모두 승소하였다. 항소심 판결은 2024. 3. 1. 乙에게 송달되었고, 乙은 항소심 판결 중 사실인정에 채증법칙 위반의 잘못이 있고 대여금의 소멸시효가 완성되었음을 주장하며 상고를 제기하고자 한다.</w:t>
      </w:r>
    </w:p>
    <w:p w14:paraId="6311A656" w14:textId="77777777" w:rsidR="00024A8C" w:rsidRDefault="00024A8C" w:rsidP="00024A8C">
      <w:pPr>
        <w:jc w:val="both"/>
      </w:pPr>
      <w:r>
        <w:rPr>
          <w:rFonts w:hint="eastAsia"/>
        </w:rPr>
        <w:t>그런데</w:t>
      </w:r>
      <w:r>
        <w:t xml:space="preserve"> 乙은 상고장 제출 당시 상고이유를 기재하지 않았고, 상고기록 접</w:t>
      </w:r>
      <w:r>
        <w:rPr>
          <w:rFonts w:hint="eastAsia"/>
        </w:rPr>
        <w:t>수통지를</w:t>
      </w:r>
      <w:r>
        <w:t xml:space="preserve"> 받은 날로부터 20일이 지나도록 상고이유서를 제출하지 않았다. 그 후 乙은 뒤늦게 상고이유서를 제출하면서, 항소심 판결에 관여한 판사 A가 제1심 판결에도 관여하여 민사소송법 제424조 제1항 제1호의 "법률에 따라 판결에 관여할 수 없는 판사가 판결에 관여한 때"에 해당한다는 점을 새로이 주장하였다.</w:t>
      </w:r>
    </w:p>
    <w:p w14:paraId="37272C5A" w14:textId="77777777" w:rsidR="00024A8C" w:rsidRDefault="00024A8C" w:rsidP="00024A8C">
      <w:pPr>
        <w:jc w:val="both"/>
      </w:pPr>
      <w:r>
        <w:rPr>
          <w:rFonts w:hint="eastAsia"/>
        </w:rPr>
        <w:t>또한</w:t>
      </w:r>
      <w:r>
        <w:t>, 별개의 사건에서 丙은 丁을 상대로 소를 제기하였으나 항소심에서 패소하였다. 丙은 상고심에서 항소심 판결이 "이유를 밝히지 아니하거나 이유</w:t>
      </w:r>
      <w:r>
        <w:rPr>
          <w:rFonts w:hint="eastAsia"/>
        </w:rPr>
        <w:t>에</w:t>
      </w:r>
      <w:r>
        <w:t xml:space="preserve"> 모순이 있는 때"에 해당한다며 상고하였다. 그런데 대법원은 심리 중 丙의 상고이유와는 별개로, 이 사건 항소심 재판의 전제가 된 소송대리권의 흠결이나 전속관할 위반 여부 등에 대해 의문을 갖게 되었다.</w:t>
      </w:r>
    </w:p>
    <w:p w14:paraId="74DD3CE1" w14:textId="77777777" w:rsidR="00024A8C" w:rsidRDefault="00024A8C" w:rsidP="00024A8C">
      <w:pPr>
        <w:jc w:val="both"/>
      </w:pPr>
    </w:p>
    <w:p w14:paraId="667568D1" w14:textId="77777777" w:rsidR="00024A8C" w:rsidRDefault="00024A8C" w:rsidP="00024A8C">
      <w:pPr>
        <w:jc w:val="both"/>
      </w:pPr>
      <w:r>
        <w:t>(물음1) 乙이 상고이유서 제출기한을 도과하여 제출한 상고이유서에 기재된 "절대적 상고이유(판결에 관여할 수 없는 법관의 관여)"를 상고심 법원이 심리할 수 있는지 여부를 민사소송법 제429조(상고이유서를 내지 아니한 경우의 처분)와 관련하여 논하시</w:t>
      </w:r>
      <w:r>
        <w:rPr>
          <w:rFonts w:hint="eastAsia"/>
        </w:rPr>
        <w:t>오</w:t>
      </w:r>
      <w:r>
        <w:t>.</w:t>
      </w:r>
    </w:p>
    <w:p w14:paraId="4142F51D" w14:textId="77777777" w:rsidR="00024A8C" w:rsidRDefault="00024A8C" w:rsidP="00024A8C">
      <w:pPr>
        <w:jc w:val="both"/>
      </w:pPr>
    </w:p>
    <w:p w14:paraId="40C2358C" w14:textId="77777777" w:rsidR="00024A8C" w:rsidRDefault="00024A8C" w:rsidP="00024A8C">
      <w:pPr>
        <w:jc w:val="both"/>
      </w:pPr>
    </w:p>
    <w:sectPr w:rsidR="00024A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A8C"/>
    <w:rsid w:val="00024A8C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29A9"/>
  <w15:chartTrackingRefBased/>
  <w15:docId w15:val="{30A75A99-3BD2-4A25-A42D-8615CB71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4A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4A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4A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4A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4A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4A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4A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4A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4A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4A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4A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4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4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4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4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4A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4A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4A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4A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4A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4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4A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4A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4A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4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4A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4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