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AE8" w:rsidRDefault="00EB5AE8" w:rsidP="00EB5AE8">
      <w:pPr>
        <w:jc w:val="both"/>
      </w:pPr>
      <w:r>
        <w:t>[예상][16.02-1]소장각하명령에 대한 항고절차 및 항고법원의 조치</w:t>
      </w:r>
    </w:p>
    <w:p w:rsidR="00EB5AE8" w:rsidRDefault="00EB5AE8" w:rsidP="00EB5AE8">
      <w:pPr>
        <w:jc w:val="both"/>
      </w:pPr>
    </w:p>
    <w:p w:rsidR="00EB5AE8" w:rsidRDefault="00EB5AE8" w:rsidP="00EB5AE8">
      <w:pPr>
        <w:jc w:val="both"/>
      </w:pPr>
      <w:r>
        <w:rPr>
          <w:rFonts w:hint="eastAsia"/>
        </w:rPr>
        <w:t>【문제</w:t>
      </w:r>
      <w:r>
        <w:t>16.2】</w:t>
      </w:r>
    </w:p>
    <w:p w:rsidR="00EB5AE8" w:rsidRDefault="00EB5AE8" w:rsidP="00EB5AE8">
      <w:pPr>
        <w:jc w:val="both"/>
      </w:pPr>
      <w:r>
        <w:t>&lt;사례&gt;</w:t>
      </w:r>
    </w:p>
    <w:p w:rsidR="00EB5AE8" w:rsidRDefault="00EB5AE8" w:rsidP="00EB5AE8">
      <w:pPr>
        <w:jc w:val="both"/>
      </w:pPr>
      <w:r>
        <w:rPr>
          <w:rFonts w:hint="eastAsia"/>
        </w:rPr>
        <w:t>甲은</w:t>
      </w:r>
      <w:r>
        <w:t xml:space="preserve"> 乙을 상대로 소유권이전등기청구소송을 제기하였으나, 제1심 법원은 소장이 접수된 후 인지가 첩부되지 않았음을 이유로 재판장이 보정명령을 내렸음에도 甲이 응하지 않자 소장각하명령을 내렸다. 이에 불복하고자 하는 甲은 소장각하명령 정본을 송달받은 날로부터 1주일 이내에 "항고장"을 작성하여 항고법원이 아닌 원심법원에 제출하였다.</w:t>
      </w:r>
    </w:p>
    <w:p w:rsidR="00EB5AE8" w:rsidRDefault="00EB5AE8" w:rsidP="00EB5AE8">
      <w:pPr>
        <w:jc w:val="both"/>
      </w:pPr>
      <w:r>
        <w:rPr>
          <w:rFonts w:hint="eastAsia"/>
        </w:rPr>
        <w:t>그런데</w:t>
      </w:r>
      <w:r>
        <w:t xml:space="preserve"> 甲이 제출한 항고장에</w:t>
      </w:r>
      <w:r>
        <w:rPr>
          <w:rFonts w:hint="eastAsia"/>
        </w:rPr>
        <w:t>는</w:t>
      </w:r>
      <w:r>
        <w:t xml:space="preserve"> 항고이유가 기재되어 있지 않았으며, 별도의 항고이유서도 기재 기한 내에 제출되지 않았다. 원심법원의 재판장은 항고장에 항고이유가 없음을 발견하였으나, 이를 즉시 각하하지 않고 사건 기록을 항고법원으로 보냈다. 항고법원은 기록을 송부받은 후 甲에게 항고이유를 소명할 것을 요구하는 심리 절차를 진행하고자 한다.</w:t>
      </w:r>
    </w:p>
    <w:p w:rsidR="00EB5AE8" w:rsidRDefault="00EB5AE8" w:rsidP="00EB5AE8">
      <w:pPr>
        <w:jc w:val="both"/>
      </w:pPr>
      <w:r>
        <w:rPr>
          <w:rFonts w:hint="eastAsia"/>
        </w:rPr>
        <w:t>한편</w:t>
      </w:r>
      <w:r>
        <w:t>, 丙은 丁과의 소송비용액확정 절차에서 법원이 내린 결정에 불복하여 즉시항고를 제기하였다. 丙은 즉시항고장에 항고이유를 적지 않았으나, 항고</w:t>
      </w:r>
      <w:r>
        <w:rPr>
          <w:rFonts w:hint="eastAsia"/>
        </w:rPr>
        <w:t>장을</w:t>
      </w:r>
      <w:r>
        <w:t xml:space="preserve"> 제출한 날로부터 10일 이내에 구체적인 항고이유를 담은 항고이유서를 원심법원에 제출하였다. 丁은 丙이 항소와 달리 항고이유서를 법정 기한 내에 제출하지 않았으므로 해당 항고가 부적법하다고 주장하고 있다.</w:t>
      </w:r>
    </w:p>
    <w:p w:rsidR="00EB5AE8" w:rsidRDefault="00EB5AE8" w:rsidP="00EB5AE8">
      <w:pPr>
        <w:jc w:val="both"/>
      </w:pPr>
    </w:p>
    <w:p w:rsidR="00EB5AE8" w:rsidRDefault="00EB5AE8" w:rsidP="00EB5AE8">
      <w:pPr>
        <w:jc w:val="both"/>
      </w:pPr>
      <w:r>
        <w:t>(물음1) 甲이 항고장을 항고법원이 아닌 원심법원에 제출한 것이 적법한 절차인지 검토하고, 항고장에 항고이유가 기재되지 않았음에도 원심재판장이 보정명령이나 각하명령을 내리지 않은 경우 항고법원이 취해야 할 심리 방식과 조치에 대하여 논하시오.</w:t>
      </w:r>
    </w:p>
    <w:p w:rsidR="00EB5AE8" w:rsidRDefault="00EB5AE8" w:rsidP="00EB5AE8">
      <w:pPr>
        <w:jc w:val="both"/>
      </w:pPr>
    </w:p>
    <w:p w:rsidR="00EB5AE8" w:rsidRDefault="00EB5AE8" w:rsidP="00EB5AE8">
      <w:pPr>
        <w:jc w:val="both"/>
      </w:pPr>
    </w:p>
    <w:sectPr w:rsidR="00EB5A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E8"/>
    <w:rsid w:val="008E6F57"/>
    <w:rsid w:val="00EB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31BF0-4EAF-4899-AB08-E4C68674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5A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5A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5A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5A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5A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5A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5A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5A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5A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5A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5A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5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5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5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5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5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5A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5A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5A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5A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5A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5A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5A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5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5A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5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