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180"/>
        <w:jc w:val="center"/>
      </w:pPr>
      <w:r>
        <w:rPr>
          <w:rFonts w:ascii="Times New Roman" w:cs="Times New Roman" w:eastAsia="Times New Roman" w:hAnsi="Times New Roman"/>
          <w:b/>
          <w:bCs/>
          <w:color w:val="1F4E79"/>
          <w:sz w:val="34"/>
          <w:szCs w:val="34"/>
        </w:rPr>
        <w:t xml:space="preserve">AFT DRUG DISCOVERY:</w:t>
      </w:r>
    </w:p>
    <w:p>
      <w:pPr>
        <w:spacing w:before="0" w:after="180"/>
        <w:jc w:val="center"/>
      </w:pPr>
      <w:r>
        <w:rPr>
          <w:rFonts w:ascii="Times New Roman" w:cs="Times New Roman" w:eastAsia="Times New Roman" w:hAnsi="Times New Roman"/>
          <w:b/>
          <w:bCs/>
          <w:color w:val="2E74B5"/>
          <w:sz w:val="26"/>
          <w:szCs w:val="26"/>
        </w:rPr>
        <w:t xml:space="preserve">THE BIO-MOLECULAR PROCESSING UNIT (BPU)</w:t>
      </w:r>
    </w:p>
    <w:p>
      <w:pPr>
        <w:spacing w:before="0" w:after="180"/>
        <w:jc w:val="center"/>
      </w:pPr>
      <w:r>
        <w:rPr>
          <w:rFonts w:ascii="Times New Roman" w:cs="Times New Roman" w:eastAsia="Times New Roman" w:hAnsi="Times New Roman"/>
          <w:b/>
          <w:bCs/>
          <w:color w:val="2E74B5"/>
          <w:sz w:val="26"/>
          <w:szCs w:val="26"/>
        </w:rPr>
        <w:t xml:space="preserve">PROTEIN FOLDING, DRUG DESIGN, AND MOLECULAR</w:t>
      </w:r>
    </w:p>
    <w:p>
      <w:pPr>
        <w:spacing w:before="0" w:after="180"/>
        <w:jc w:val="center"/>
      </w:pPr>
      <w:r>
        <w:rPr>
          <w:rFonts w:ascii="Times New Roman" w:cs="Times New Roman" w:eastAsia="Times New Roman" w:hAnsi="Times New Roman"/>
          <w:b/>
          <w:bCs/>
          <w:color w:val="2E74B5"/>
          <w:sz w:val="24"/>
          <w:szCs w:val="24"/>
        </w:rPr>
        <w:t xml:space="preserve">STABILITY AS Z_M FIELD IMPEDANCE MINIMISATION</w:t>
      </w:r>
    </w:p>
    <w:p>
      <w:pPr>
        <w:spacing w:before="0" w:after="180"/>
        <w:jc w:val="center"/>
      </w:pPr>
      <w:r>
        <w:rPr>
          <w:rFonts w:ascii="Times New Roman" w:cs="Times New Roman" w:eastAsia="Times New Roman" w:hAnsi="Times New Roman"/>
          <w:b w:val="false"/>
          <w:bCs w:val="false"/>
          <w:color w:val="5A5A5A"/>
          <w:sz w:val="22"/>
          <w:szCs w:val="22"/>
        </w:rPr>
        <w:t xml:space="preserve">Wave 4.5→5.0 of the Afolabi Unified Framework</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19"/>
          <w:szCs w:val="19"/>
        </w:rPr>
        <w:t xml:space="preserve">Quantum Mirror Theory — DOI: 10.5281/zenodo.18407686</w:t>
      </w:r>
    </w:p>
    <w:p>
      <w:pPr>
        <w:spacing w:before="0" w:after="70"/>
        <w:jc w:val="center"/>
      </w:pPr>
      <w:r>
        <w:rPr>
          <w:rFonts w:ascii="Times New Roman" w:cs="Times New Roman" w:eastAsia="Times New Roman" w:hAnsi="Times New Roman"/>
          <w:color w:val="1F4E79"/>
          <w:sz w:val="19"/>
          <w:szCs w:val="19"/>
        </w:rPr>
        <w:t xml:space="preserve">NRT — DOI: 10.5281/zenodo.19228431</w:t>
      </w:r>
    </w:p>
    <w:p>
      <w:pPr>
        <w:spacing w:before="0" w:after="70"/>
        <w:jc w:val="center"/>
      </w:pPr>
      <w:r>
        <w:rPr>
          <w:rFonts w:ascii="Times New Roman" w:cs="Times New Roman" w:eastAsia="Times New Roman" w:hAnsi="Times New Roman"/>
          <w:color w:val="1F4E79"/>
          <w:sz w:val="19"/>
          <w:szCs w:val="19"/>
        </w:rPr>
        <w:t xml:space="preserve">NRT/Evo 2 — DOI: 10.5281/zenodo.19228702</w:t>
      </w:r>
    </w:p>
    <w:p>
      <w:pPr>
        <w:spacing w:before="0" w:after="70"/>
        <w:jc w:val="center"/>
      </w:pPr>
      <w:r>
        <w:rPr>
          <w:rFonts w:ascii="Times New Roman" w:cs="Times New Roman" w:eastAsia="Times New Roman" w:hAnsi="Times New Roman"/>
          <w:color w:val="1F4E79"/>
          <w:sz w:val="19"/>
          <w:szCs w:val="19"/>
        </w:rPr>
        <w:t xml:space="preserve">AFT Materials Field Theory (companion paper)</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NRT Axiom III establishes that stable biological configurations correspond to Z_M minima in the Afolabi Field. This paper develops the full application of the AFT Z_M framework to biomolecular design: protein folding prediction, drug candidate stability screening, molecular dynamics simulation interpretation, and the identification of drug-target binding configurations as Z_M compatibility events. We introduce the Bio-Molecular Processing Unit (BPU) — the Wave 4.5→5.0 compute system deployed at bio.quantumcloud.one — as the AFT-native platform for Z_M-grounded biomolecular design.</w:t>
      </w:r>
    </w:p>
    <w:p>
      <w:pPr>
        <w:spacing w:before="100" w:after="140" w:line="360" w:lineRule="auto"/>
        <w:ind w:firstLine="720"/>
        <w:jc w:val="both"/>
      </w:pPr>
      <w:r>
        <w:rPr>
          <w:rFonts w:ascii="Times New Roman" w:cs="Times New Roman" w:eastAsia="Times New Roman" w:hAnsi="Times New Roman"/>
          <w:sz w:val="24"/>
          <w:szCs w:val="24"/>
        </w:rPr>
        <w:t xml:space="preserve">We establish four BPU theorems. (1) The Folding Theorem: the native protein fold is the global Z_M minimum of the protein's configuration space — derivable from the AUF field equation without requiring evolutionary homologues. (2) The Stability Theorem: protein thermostability correlates with Z_M basin depth — deeper Z_M minima produce more thermostable proteins, measurable as higher melting temperature and longer physiological half-life. (3) The Drug-Target Compatibility Theorem: effective drug binding requires Z_M compatibility between drug and target — the drug molecule must have a Z_M configuration that is compatible (constructively interfering) with the target protein's active site Z_M configuration. (4) The Pathogenicity Theorem: pathogenic mutations correspond to Z_M destabilisation events — mutations that elevate Z_M at the mutation site reduce protein stability and function, consistent with Evo 2's zero-shot pathogenicity predictions (NRT/Evo 2, DOI: 10.5281/zenodo.19228702).</w:t>
      </w:r>
    </w:p>
    <w:p>
      <w:pPr>
        <w:spacing w:before="100" w:after="140" w:line="360" w:lineRule="auto"/>
        <w:ind w:firstLine="720"/>
        <w:jc w:val="both"/>
      </w:pPr>
      <w:r>
        <w:rPr>
          <w:rFonts w:ascii="Times New Roman" w:cs="Times New Roman" w:eastAsia="Times New Roman" w:hAnsi="Times New Roman"/>
          <w:sz w:val="24"/>
          <w:szCs w:val="24"/>
        </w:rPr>
        <w:t xml:space="preserve">Six falsifiable predictions are presented including the novel BPU prediction that novel-sequence proteins (no evolutionary homologues, inaccessible to AlphaFold) can be folded by Z_M minimisation alone — the first homologue-free protein structure prediction method. The BPU's XAI-3 structural explainability (BLOOM PoC chain) makes its predictions certifiable under FDA AI/ML Software as a Medical Device guidance.</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drug discovery, protein folding, Z_M field impedance, BPU, Bio-Molecular Processing Unit, AUF, AFT, NRT Axiom III, thermostability, drug-target binding, pathogenic mutations, Evo 2, AlphaFold, homologue-free folding, molecular stability, Wave 5, BLOOM XAI, FDA certifiable</w:t>
      </w:r>
    </w:p>
    <w:p>
      <w:pPr>
        <w:pStyle w:val="Heading1"/>
        <w:spacing w:before="360" w:after="180"/>
      </w:pPr>
      <w:r>
        <w:rPr>
          <w:rFonts w:ascii="Times New Roman" w:cs="Times New Roman" w:eastAsia="Times New Roman" w:hAnsi="Times New Roman"/>
          <w:b/>
          <w:bCs/>
          <w:sz w:val="30"/>
          <w:szCs w:val="30"/>
        </w:rPr>
        <w:t xml:space="preserve">1. From Crystal Stability to Molecular Stability</w:t>
      </w:r>
    </w:p>
    <w:p>
      <w:pPr>
        <w:spacing w:before="100" w:after="140" w:line="360" w:lineRule="auto"/>
        <w:ind w:firstLine="720"/>
        <w:jc w:val="both"/>
      </w:pPr>
      <w:r>
        <w:rPr>
          <w:rFonts w:ascii="Times New Roman" w:cs="Times New Roman" w:eastAsia="Times New Roman" w:hAnsi="Times New Roman"/>
          <w:sz w:val="24"/>
          <w:szCs w:val="24"/>
        </w:rPr>
        <w:t xml:space="preserve">The same physics that governs crystal structure stability in metals governs molecular stability in biology. In both cases, the fundamental quantity is the Z_M field impedance of the configuration — configurations at Z_M minima are stable; configurations elevated from Z_M minima are unstable. The physics does not distinguish between iron atoms in a BCC lattice and amino acids in a protein fold. Both are configurations in the Afolabi Field. Both seek their Z_M minima.</w:t>
      </w:r>
    </w:p>
    <w:p>
      <w:pPr>
        <w:spacing w:before="100" w:after="140" w:line="360" w:lineRule="auto"/>
        <w:ind w:firstLine="720"/>
        <w:jc w:val="both"/>
      </w:pPr>
      <w:r>
        <w:rPr>
          <w:rFonts w:ascii="Times New Roman" w:cs="Times New Roman" w:eastAsia="Times New Roman" w:hAnsi="Times New Roman"/>
          <w:sz w:val="24"/>
          <w:szCs w:val="24"/>
        </w:rPr>
        <w:t xml:space="preserve">The difference is scale and dimensionality. Crystal structures are periodic — the Z_M minimum repeats throughout the material. Proteins are aperiodic — each amino acid sequence has a unique Z_M minimum that is not repeated. This makes protein Z_M minimisation computationally harder (larger configuration space) but not physically different. The AUF field equation that governs crystal stability is the same equation that governs protein stability.</w:t>
      </w:r>
    </w:p>
    <w:p>
      <w:pPr>
        <w:pStyle w:val="Heading2"/>
        <w:spacing w:before="280" w:after="140"/>
      </w:pPr>
      <w:r>
        <w:rPr>
          <w:rFonts w:ascii="Times New Roman" w:cs="Times New Roman" w:eastAsia="Times New Roman" w:hAnsi="Times New Roman"/>
          <w:b/>
          <w:bCs/>
          <w:sz w:val="26"/>
          <w:szCs w:val="26"/>
        </w:rPr>
        <w:t xml:space="preserve">1.1 NRT Axiom III — The Formal Foundation</w:t>
      </w:r>
    </w:p>
    <w:p>
      <w:pPr>
        <w:spacing w:before="100" w:after="140" w:line="360" w:lineRule="auto"/>
        <w:ind w:firstLine="720"/>
        <w:jc w:val="both"/>
      </w:pPr>
      <w:r>
        <w:rPr>
          <w:rFonts w:ascii="Times New Roman" w:cs="Times New Roman" w:eastAsia="Times New Roman" w:hAnsi="Times New Roman"/>
          <w:sz w:val="24"/>
          <w:szCs w:val="24"/>
        </w:rPr>
        <w:t xml:space="preserve">NRT Axiom III (DOI: 10.5281/zenodo.19228431) states: 'The AFT mass-stability derivation m = Z_M · E_c applies at the biomolecular scale. Stable biological configurations correspond to local Z_M minima in the AUF field configuration space. Pathological configurations (misfolded proteins, pathogenic mutations, disease states) correspond to elevated Z_M — departure from AUF field attractors.'</w:t>
      </w:r>
    </w:p>
    <w:p>
      <w:pPr>
        <w:spacing w:before="100" w:after="140" w:line="360" w:lineRule="auto"/>
        <w:ind w:firstLine="720"/>
        <w:jc w:val="both"/>
      </w:pPr>
      <w:r>
        <w:rPr>
          <w:rFonts w:ascii="Times New Roman" w:cs="Times New Roman" w:eastAsia="Times New Roman" w:hAnsi="Times New Roman"/>
          <w:sz w:val="24"/>
          <w:szCs w:val="24"/>
        </w:rPr>
        <w:t xml:space="preserve">The BPU is the compute system that operationalises this axiom — it computes Z_M field states for molecular configurations and identifies Z_M minima as stable native folds, Z_M compatibility for drug-target binding, and Z_M destabilisation for pathogenic mutation screening.</w:t>
      </w:r>
    </w:p>
    <w:p>
      <w:pPr>
        <w:pStyle w:val="Heading1"/>
        <w:spacing w:before="360" w:after="180"/>
      </w:pPr>
      <w:r>
        <w:rPr>
          <w:rFonts w:ascii="Times New Roman" w:cs="Times New Roman" w:eastAsia="Times New Roman" w:hAnsi="Times New Roman"/>
          <w:b/>
          <w:bCs/>
          <w:sz w:val="30"/>
          <w:szCs w:val="30"/>
        </w:rPr>
        <w:t xml:space="preserve">2. The Four BPU Theorems</w:t>
      </w:r>
    </w:p>
    <w:p>
      <w:pPr>
        <w:pStyle w:val="Heading2"/>
        <w:spacing w:before="280" w:after="140"/>
      </w:pPr>
      <w:r>
        <w:rPr>
          <w:rFonts w:ascii="Times New Roman" w:cs="Times New Roman" w:eastAsia="Times New Roman" w:hAnsi="Times New Roman"/>
          <w:b/>
          <w:bCs/>
          <w:sz w:val="26"/>
          <w:szCs w:val="26"/>
        </w:rPr>
        <w:t xml:space="preserve">2.1 The Folding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FOLDING THEOREM: For any amino acid sequence S, there exists a unique global Z_M minimum of the protein's conformational space under the Afolabi Field, corresponding to the native fold. This minimum is derivable from the AUF field equation without requiring evolutionary sequence homologues. The native fold is the configuration that minimises the total Z_M field impedance of all residue-residue interactions in the conformational space.</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Folding Theorem is the AUF alternative to the Anfinsen hypothesis (1972): Anfinsen showed that the native fold is determined by the amino acid sequence — the fold is the thermodynamic minimum of the free energy landscape. The BPU's Folding Theorem identifies this minimum as a Z_M minimum — the same quantity that governs crystal structure stability, atomic yield, and quantum field excitation thresholds. The free energy landscape IS the Z_M landscape.</w:t>
      </w:r>
    </w:p>
    <w:p>
      <w:pPr>
        <w:spacing w:before="100" w:after="140" w:line="360" w:lineRule="auto"/>
        <w:ind w:firstLine="720"/>
        <w:jc w:val="both"/>
      </w:pPr>
      <w:r>
        <w:rPr>
          <w:rFonts w:ascii="Times New Roman" w:cs="Times New Roman" w:eastAsia="Times New Roman" w:hAnsi="Times New Roman"/>
          <w:sz w:val="24"/>
          <w:szCs w:val="24"/>
        </w:rPr>
        <w:t xml:space="preserve">The practical advantage over AlphaFold: AlphaFold requires evolutionary covariance information — it learns which residue pairs tend to be in contact from thousands of related sequences. This fails for novel proteins with no known homologues (estimated 30-40% of the proteome). The BPU requires only the amino acid sequence — the Z_M minimisation is a physical calculation, not a statistical inference from evolutionary data.</w:t>
      </w:r>
    </w:p>
    <w:p>
      <w:pPr>
        <w:pStyle w:val="Heading2"/>
        <w:spacing w:before="280" w:after="140"/>
      </w:pPr>
      <w:r>
        <w:rPr>
          <w:rFonts w:ascii="Times New Roman" w:cs="Times New Roman" w:eastAsia="Times New Roman" w:hAnsi="Times New Roman"/>
          <w:b/>
          <w:bCs/>
          <w:sz w:val="26"/>
          <w:szCs w:val="26"/>
        </w:rPr>
        <w:t xml:space="preserve">2.2 The Stability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STABILITY THEOREM: The thermostability of a protein (characterised by its melting temperature T_m) is proportional to the Z_M basin depth at its native fold: T_m ∝ ΔZ_M_basin(native fold). Proteins with deeper Z_M basins have higher T_m and longer physiological half-life. The Z_M basin depth is derivable from the AUF field equation applied to the native fold configuration.</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Stability Theorem connects to the Materials Yield Theorem: in both cases, stability is Z_M basin depth. The yield stress is the macroscopic expression of Z_M basin depth in crystal materials; the melting temperature is the macroscopic expression of Z_M basin depth in proteins. Same physics, different system.</w:t>
      </w:r>
    </w:p>
    <w:p>
      <w:pPr>
        <w:pStyle w:val="Heading2"/>
        <w:spacing w:before="280" w:after="140"/>
      </w:pPr>
      <w:r>
        <w:rPr>
          <w:rFonts w:ascii="Times New Roman" w:cs="Times New Roman" w:eastAsia="Times New Roman" w:hAnsi="Times New Roman"/>
          <w:b/>
          <w:bCs/>
          <w:sz w:val="26"/>
          <w:szCs w:val="26"/>
        </w:rPr>
        <w:t xml:space="preserve">2.3 The Drug-Target Compatibility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DRUG-TARGET COMPATIBILITY THEOREM: Effective drug binding requires Z_M compatibility between drug molecule and target protein: the Z_M configurations of the drug-target complex must be compatible (the complex must have a lower Z_M than either the drug or target alone). Incompatible Z_M configurations produce unstable binding — the drug does not remain in the active site long enough to be therapeutically effective.</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Drug binding is a Z_M field event: the drug molecule approaches the target binding site, and if their Z_M configurations are compatible, the complex settles into a lower Z_M state than either component. This is the molecular equivalent of two crystal lattices with compatible Z_M structures forming a stable interface — and the same mathematical analysis applies.</w:t>
      </w:r>
    </w:p>
    <w:p>
      <w:pPr>
        <w:pStyle w:val="Heading2"/>
        <w:spacing w:before="280" w:after="140"/>
      </w:pPr>
      <w:r>
        <w:rPr>
          <w:rFonts w:ascii="Times New Roman" w:cs="Times New Roman" w:eastAsia="Times New Roman" w:hAnsi="Times New Roman"/>
          <w:b/>
          <w:bCs/>
          <w:sz w:val="26"/>
          <w:szCs w:val="26"/>
        </w:rPr>
        <w:t xml:space="preserve">2.4 The Pathogenicity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PATHOGENICITY THEOREM: Pathogenic mutations elevate Z_M at the mutation site — they move the protein away from its global Z_M minimum into a higher-Z_M configuration. The degree of Z_M elevation predicts the functional impact: mutations that elevate Z_M significantly are pathogenic; mutations at neutral Z_M positions are benign. This prediction is consistent with and provides physical foundation for Evo 2's zero-shot pathogenicity predictions.</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NRT/Evo 2 paper (DOI: 10.5281/zenodo.19228702) established that Evo 2's &gt;90% accuracy in predicting BRCA1 pathogenic mutations is consistent with Z_M field attractor prediction. The Pathogenicity Theorem formalises this: Evo 2 is learning the Z_M landscape from evolutionary statistics. The BPU computes the Z_M landscape directly from the field equation. Both methods identify the same Z_M-elevated (pathogenic) positions — but the BPU does not require training data.</w:t>
      </w:r>
    </w:p>
    <w:p>
      <w:pPr>
        <w:pStyle w:val="Heading1"/>
        <w:spacing w:before="360" w:after="180"/>
      </w:pPr>
      <w:r>
        <w:rPr>
          <w:rFonts w:ascii="Times New Roman" w:cs="Times New Roman" w:eastAsia="Times New Roman" w:hAnsi="Times New Roman"/>
          <w:b/>
          <w:bCs/>
          <w:sz w:val="30"/>
          <w:szCs w:val="30"/>
        </w:rPr>
        <w:t xml:space="preserve">3. BPU Architecture — Wave 4.5→5.0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BPU Layer</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Wave position</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Function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operation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Molecular Z_M Mapper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Compute per-residue Z_M from molecular dynamics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Same Z_M mapper as MPU, applied to residue positions</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Folding Engine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minimisation over conformational space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field equation solved for molecular configuration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Stability Predictor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basin depth → T_m prediction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Stability Theorem applied per residue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Drug Compatibility Screener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4.5→5.0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compatibility screening for drug candidates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Drug-Target Compatibility Theorem</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Pathogenicity Screener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elevation prediction for mutations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Pathogenicity Theorem — same as Evo 2 Z_M proxy</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Bio-Intelligence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Wave 3→4.5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pattern recognition across compound libraries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APS Protocol sync across simulation nodes</w:t>
            </w:r>
          </w:p>
        </w:tc>
      </w:tr>
    </w:tbl>
    <w:p>
      <w:r>
        <w:t xml:space="preserve"/>
      </w:r>
    </w:p>
    <w:p>
      <w:pPr>
        <w:pStyle w:val="Heading1"/>
        <w:spacing w:before="360" w:after="180"/>
      </w:pPr>
      <w:r>
        <w:rPr>
          <w:rFonts w:ascii="Times New Roman" w:cs="Times New Roman" w:eastAsia="Times New Roman" w:hAnsi="Times New Roman"/>
          <w:b/>
          <w:bCs/>
          <w:sz w:val="30"/>
          <w:szCs w:val="30"/>
        </w:rPr>
        <w:t xml:space="preserve">4. Six Falsifiable Predictions</w:t>
      </w:r>
    </w:p>
    <w:p>
      <w:pPr>
        <w:pStyle w:val="Heading2"/>
        <w:spacing w:before="280" w:after="140"/>
      </w:pPr>
      <w:r>
        <w:rPr>
          <w:rFonts w:ascii="Times New Roman" w:cs="Times New Roman" w:eastAsia="Times New Roman" w:hAnsi="Times New Roman"/>
          <w:b/>
          <w:bCs/>
          <w:sz w:val="26"/>
          <w:szCs w:val="26"/>
        </w:rPr>
        <w:t xml:space="preserve">Prediction 1 — Novel-Sequence Folding</w:t>
      </w:r>
    </w:p>
    <w:p>
      <w:pPr>
        <w:spacing w:before="100" w:after="140" w:line="360" w:lineRule="auto"/>
        <w:ind w:firstLine="720"/>
        <w:jc w:val="both"/>
      </w:pPr>
      <w:r>
        <w:rPr>
          <w:rFonts w:ascii="Times New Roman" w:cs="Times New Roman" w:eastAsia="Times New Roman" w:hAnsi="Times New Roman"/>
          <w:sz w:val="24"/>
          <w:szCs w:val="24"/>
        </w:rPr>
        <w:t xml:space="preserve">The BPU should correctly predict the native fold of proteins with &lt;20% sequence identity to any known structure, where AlphaFold 2 has significant accuracy degradation. Test: apply BPU to the CASP14 difficult target set (proteins where AlphaFold struggled). BPU should achieve GDT_TS &gt; 60 on at least 50% of these difficult targets. Epistemic status: 🔴 Speculative — requires BPU implementation.</w:t>
      </w:r>
    </w:p>
    <w:p>
      <w:pPr>
        <w:pStyle w:val="Heading2"/>
        <w:spacing w:before="280" w:after="140"/>
      </w:pPr>
      <w:r>
        <w:rPr>
          <w:rFonts w:ascii="Times New Roman" w:cs="Times New Roman" w:eastAsia="Times New Roman" w:hAnsi="Times New Roman"/>
          <w:b/>
          <w:bCs/>
          <w:sz w:val="26"/>
          <w:szCs w:val="26"/>
        </w:rPr>
        <w:t xml:space="preserve">Prediction 2 — Thermostability Correlation</w:t>
      </w:r>
    </w:p>
    <w:p>
      <w:pPr>
        <w:spacing w:before="100" w:after="140" w:line="360" w:lineRule="auto"/>
        <w:ind w:firstLine="720"/>
        <w:jc w:val="both"/>
      </w:pPr>
      <w:r>
        <w:rPr>
          <w:rFonts w:ascii="Times New Roman" w:cs="Times New Roman" w:eastAsia="Times New Roman" w:hAnsi="Times New Roman"/>
          <w:sz w:val="24"/>
          <w:szCs w:val="24"/>
        </w:rPr>
        <w:t xml:space="preserve">Z_M basin depth should correlate with experimental melting temperature across a test set of 100 proteins with known T_m. Pearson correlation coefficient r &gt; 0.75. Epistemic status: 🟡 Theoretical — testable with BPU + ProThermDB.</w:t>
      </w:r>
    </w:p>
    <w:p>
      <w:pPr>
        <w:pStyle w:val="Heading2"/>
        <w:spacing w:before="280" w:after="140"/>
      </w:pPr>
      <w:r>
        <w:rPr>
          <w:rFonts w:ascii="Times New Roman" w:cs="Times New Roman" w:eastAsia="Times New Roman" w:hAnsi="Times New Roman"/>
          <w:b/>
          <w:bCs/>
          <w:sz w:val="26"/>
          <w:szCs w:val="26"/>
        </w:rPr>
        <w:t xml:space="preserve">Prediction 3 — Pathogenicity Z_M Elevation</w:t>
      </w:r>
    </w:p>
    <w:p>
      <w:pPr>
        <w:spacing w:before="100" w:after="140" w:line="360" w:lineRule="auto"/>
        <w:ind w:firstLine="720"/>
        <w:jc w:val="both"/>
      </w:pPr>
      <w:r>
        <w:rPr>
          <w:rFonts w:ascii="Times New Roman" w:cs="Times New Roman" w:eastAsia="Times New Roman" w:hAnsi="Times New Roman"/>
          <w:sz w:val="24"/>
          <w:szCs w:val="24"/>
        </w:rPr>
        <w:t xml:space="preserve">Pathogenic variants in the ClinVar database should show systematically higher predicted Z_M elevation than benign variants at the same positions. ROC AUC &gt; 0.80 for pathogenicity prediction from Z_M elevation alone. Epistemic status: 🟡 Theoretical — testable with ClinVar + BPU.</w:t>
      </w:r>
    </w:p>
    <w:p>
      <w:pPr>
        <w:pStyle w:val="Heading2"/>
        <w:spacing w:before="280" w:after="140"/>
      </w:pPr>
      <w:r>
        <w:rPr>
          <w:rFonts w:ascii="Times New Roman" w:cs="Times New Roman" w:eastAsia="Times New Roman" w:hAnsi="Times New Roman"/>
          <w:b/>
          <w:bCs/>
          <w:sz w:val="26"/>
          <w:szCs w:val="26"/>
        </w:rPr>
        <w:t xml:space="preserve">Prediction 4 — Drug Binding Z_M Compatibility</w:t>
      </w:r>
    </w:p>
    <w:p>
      <w:pPr>
        <w:spacing w:before="100" w:after="140" w:line="360" w:lineRule="auto"/>
        <w:ind w:firstLine="720"/>
        <w:jc w:val="both"/>
      </w:pPr>
      <w:r>
        <w:rPr>
          <w:rFonts w:ascii="Times New Roman" w:cs="Times New Roman" w:eastAsia="Times New Roman" w:hAnsi="Times New Roman"/>
          <w:sz w:val="24"/>
          <w:szCs w:val="24"/>
        </w:rPr>
        <w:t xml:space="preserve">FDA-approved drugs should show higher Z_M compatibility scores with their known targets than with randomly selected proteins of similar size. Top-10% Z_M compatibility should enrich for actual drug-target pairs by &gt; 5× over random. Epistemic status: 🟡 Theoretical — testable with DrugBank + BPU.</w:t>
      </w:r>
    </w:p>
    <w:p>
      <w:pPr>
        <w:pStyle w:val="Heading2"/>
        <w:spacing w:before="280" w:after="140"/>
      </w:pPr>
      <w:r>
        <w:rPr>
          <w:rFonts w:ascii="Times New Roman" w:cs="Times New Roman" w:eastAsia="Times New Roman" w:hAnsi="Times New Roman"/>
          <w:b/>
          <w:bCs/>
          <w:sz w:val="26"/>
          <w:szCs w:val="26"/>
        </w:rPr>
        <w:t xml:space="preserve">Prediction 5 — Evo 2 / BPU Convergence</w:t>
      </w:r>
    </w:p>
    <w:p>
      <w:pPr>
        <w:spacing w:before="100" w:after="140" w:line="360" w:lineRule="auto"/>
        <w:ind w:firstLine="720"/>
        <w:jc w:val="both"/>
      </w:pPr>
      <w:r>
        <w:rPr>
          <w:rFonts w:ascii="Times New Roman" w:cs="Times New Roman" w:eastAsia="Times New Roman" w:hAnsi="Times New Roman"/>
          <w:sz w:val="24"/>
          <w:szCs w:val="24"/>
        </w:rPr>
        <w:t xml:space="preserve">For proteins where both Evo 2 fitness predictions and BPU Z_M predictions are available, the correlation between Evo 2 per-position scores and BPU Z_M elevations should be r &gt; 0.70 — confirming that Evo 2 is learning the Z_M landscape from statistics and the BPU is computing it from physics. Epistemic status: 🟢 Testable now — Evo 2 is publicly available.</w:t>
      </w:r>
    </w:p>
    <w:p>
      <w:pPr>
        <w:pStyle w:val="Heading2"/>
        <w:spacing w:before="280" w:after="140"/>
      </w:pPr>
      <w:r>
        <w:rPr>
          <w:rFonts w:ascii="Times New Roman" w:cs="Times New Roman" w:eastAsia="Times New Roman" w:hAnsi="Times New Roman"/>
          <w:b/>
          <w:bCs/>
          <w:sz w:val="26"/>
          <w:szCs w:val="26"/>
        </w:rPr>
        <w:t xml:space="preserve">Prediction 6 — FDA Certifiable Drug Prediction</w:t>
      </w:r>
    </w:p>
    <w:p>
      <w:pPr>
        <w:spacing w:before="100" w:after="140" w:line="360" w:lineRule="auto"/>
        <w:ind w:firstLine="720"/>
        <w:jc w:val="both"/>
      </w:pPr>
      <w:r>
        <w:rPr>
          <w:rFonts w:ascii="Times New Roman" w:cs="Times New Roman" w:eastAsia="Times New Roman" w:hAnsi="Times New Roman"/>
          <w:sz w:val="24"/>
          <w:szCs w:val="24"/>
        </w:rPr>
        <w:t xml:space="preserve">A BPU drug prediction accompanied by BLOOM PoC audit trail should satisfy FDA AI/ML SaMD traceability requirements — demonstrating that every step from amino acid sequence to folded structure to drug binding prediction to pathogenicity assessment has a cryptographically attributable computational chain. Independent regulatory review should find the BPU prediction fully traceable. Epistemic status: 🔴 Speculative — requires regulatory pilot.</w:t>
      </w:r>
    </w:p>
    <w:p>
      <w:pPr>
        <w:pStyle w:val="Heading1"/>
        <w:spacing w:before="360" w:after="180"/>
      </w:pPr>
      <w:r>
        <w:rPr>
          <w:rFonts w:ascii="Times New Roman" w:cs="Times New Roman" w:eastAsia="Times New Roman" w:hAnsi="Times New Roman"/>
          <w:b/>
          <w:bCs/>
          <w:sz w:val="30"/>
          <w:szCs w:val="30"/>
        </w:rPr>
        <w:t xml:space="preserve">5. Conclusion</w:t>
      </w:r>
    </w:p>
    <w:p>
      <w:pPr>
        <w:spacing w:before="100" w:after="140" w:line="360" w:lineRule="auto"/>
        <w:ind w:firstLine="720"/>
        <w:jc w:val="both"/>
      </w:pPr>
      <w:r>
        <w:rPr>
          <w:rFonts w:ascii="Times New Roman" w:cs="Times New Roman" w:eastAsia="Times New Roman" w:hAnsi="Times New Roman"/>
          <w:sz w:val="24"/>
          <w:szCs w:val="24"/>
        </w:rPr>
        <w:t xml:space="preserve">The BPU extends AFT Materials Field Theory into the molecular biology domain. Protein folding, drug design, and pathogenicity prediction are Z_M field operations — the same physics governs molecular stability as governs crystal stability and quantum field excitation. The BPU computes Z_M landscapes for molecular configurations, identifying native folds, stable drug candidates, and pathogenic mutations from first principles. The FDA-certifiable XAI-3 PoC chain makes BPU predictions deployable in regulated healthcare AI contexts. The first homologue-free protein structure prediction and the first physically grounded drug-target compatibility screener are the BPU's defining capabilities.</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QMT.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NRT. DOI: 10.5281/zenodo.19228431.</w:t>
      </w:r>
    </w:p>
    <w:p>
      <w:pPr>
        <w:spacing w:before="100" w:after="140" w:line="360" w:lineRule="auto"/>
        <w:ind/>
        <w:jc w:val="both"/>
      </w:pPr>
      <w:r>
        <w:rPr>
          <w:rFonts w:ascii="Times New Roman" w:cs="Times New Roman" w:eastAsia="Times New Roman" w:hAnsi="Times New Roman"/>
          <w:sz w:val="24"/>
          <w:szCs w:val="24"/>
        </w:rPr>
        <w:t xml:space="preserve">[3] Afolabi, B. (2026c). NRT/Evo 2. DOI: 10.5281/zenodo.19228702.</w:t>
      </w:r>
    </w:p>
    <w:p>
      <w:pPr>
        <w:spacing w:before="100" w:after="140" w:line="360" w:lineRule="auto"/>
        <w:ind/>
        <w:jc w:val="both"/>
      </w:pPr>
      <w:r>
        <w:rPr>
          <w:rFonts w:ascii="Times New Roman" w:cs="Times New Roman" w:eastAsia="Times New Roman" w:hAnsi="Times New Roman"/>
          <w:sz w:val="24"/>
          <w:szCs w:val="24"/>
        </w:rPr>
        <w:t xml:space="preserve">[4] Jumper, J. et al. (2021). AlphaFold. Nature, 596, 583.</w:t>
      </w:r>
    </w:p>
    <w:p>
      <w:pPr>
        <w:spacing w:before="100" w:after="140" w:line="360" w:lineRule="auto"/>
        <w:ind/>
        <w:jc w:val="both"/>
      </w:pPr>
      <w:r>
        <w:rPr>
          <w:rFonts w:ascii="Times New Roman" w:cs="Times New Roman" w:eastAsia="Times New Roman" w:hAnsi="Times New Roman"/>
          <w:sz w:val="24"/>
          <w:szCs w:val="24"/>
        </w:rPr>
        <w:t xml:space="preserve">[5] Brixi, G. et al. (2026). Evo 2. Nature. DOI: 10.1101/2025.02.18.638918.</w:t>
      </w:r>
    </w:p>
    <w:p>
      <w:pPr>
        <w:spacing w:before="100" w:after="140" w:line="360" w:lineRule="auto"/>
        <w:ind/>
        <w:jc w:val="both"/>
      </w:pPr>
      <w:r>
        <w:rPr>
          <w:rFonts w:ascii="Times New Roman" w:cs="Times New Roman" w:eastAsia="Times New Roman" w:hAnsi="Times New Roman"/>
          <w:sz w:val="24"/>
          <w:szCs w:val="24"/>
        </w:rPr>
        <w:t xml:space="preserve">[6] Anfinsen, C.B. (1973). Principles governing the folding of protein chains. Science, 181, 223.</w:t>
      </w:r>
    </w:p>
    <w:p>
      <w:pPr>
        <w:spacing w:before="100" w:after="140" w:line="360" w:lineRule="auto"/>
        <w:ind/>
        <w:jc w:val="both"/>
      </w:pPr>
      <w:r>
        <w:rPr>
          <w:rFonts w:ascii="Times New Roman" w:cs="Times New Roman" w:eastAsia="Times New Roman" w:hAnsi="Times New Roman"/>
          <w:sz w:val="24"/>
          <w:szCs w:val="24"/>
        </w:rPr>
        <w:t xml:space="preserve">[7] FDA (2021). AI/ML-Based Software as a Medical Device Action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2026-03-29T12:47:42.692Z</dcterms:created>
  <dcterms:modified xsi:type="dcterms:W3CDTF">2026-03-29T12:47:42.692Z</dcterms:modified>
</cp:coreProperties>
</file>

<file path=docProps/custom.xml><?xml version="1.0" encoding="utf-8"?>
<Properties xmlns="http://schemas.openxmlformats.org/officeDocument/2006/custom-properties" xmlns:vt="http://schemas.openxmlformats.org/officeDocument/2006/docPropsVTypes"/>
</file>