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720" w:after="200"/>
        <w:jc w:val="center"/>
      </w:pPr>
      <w:r>
        <w:rPr>
          <w:rFonts w:ascii="Times New Roman" w:cs="Times New Roman" w:eastAsia="Times New Roman" w:hAnsi="Times New Roman"/>
          <w:b/>
          <w:bCs/>
          <w:color w:val="1F4E79"/>
          <w:sz w:val="34"/>
          <w:szCs w:val="34"/>
        </w:rPr>
        <w:t xml:space="preserve">STRUCTURALLY NATIVE EXPLAINABILITY AND CRYPTOGRAPHIC</w:t>
      </w:r>
    </w:p>
    <w:p>
      <w:pPr>
        <w:spacing w:before="0" w:after="180"/>
        <w:jc w:val="center"/>
      </w:pPr>
      <w:r>
        <w:rPr>
          <w:rFonts w:ascii="Times New Roman" w:cs="Times New Roman" w:eastAsia="Times New Roman" w:hAnsi="Times New Roman"/>
          <w:b/>
          <w:bCs/>
          <w:color w:val="1F4E79"/>
          <w:sz w:val="28"/>
          <w:szCs w:val="28"/>
        </w:rPr>
        <w:t xml:space="preserve">TRANSPARENCY IN THE BLOOM DISTRIBUTED NEURO-SYMBOLIC ARCHITECTURE:</w:t>
      </w:r>
    </w:p>
    <w:p>
      <w:pPr>
        <w:spacing w:before="0" w:after="180"/>
        <w:jc w:val="center"/>
      </w:pPr>
      <w:r>
        <w:rPr>
          <w:rFonts w:ascii="Times New Roman" w:cs="Times New Roman" w:eastAsia="Times New Roman" w:hAnsi="Times New Roman"/>
          <w:b/>
          <w:bCs/>
          <w:color w:val="2E74B5"/>
          <w:sz w:val="24"/>
          <w:szCs w:val="24"/>
        </w:rPr>
        <w:t xml:space="preserve">The First AI System with Auditable Pattern Provenance by Design</w:t>
      </w:r>
    </w:p>
    <w:p>
      <w:pPr>
        <w:pBdr>
          <w:bottom w:val="single" w:color="1F4E79" w:sz="4" w:space="1"/>
        </w:pBdr>
        <w:spacing w:before="180" w:after="180"/>
      </w:pPr>
      <w:r>
        <w:t xml:space="preserve"/>
      </w:r>
    </w:p>
    <w:p>
      <w:r>
        <w:t xml:space="preserve"/>
      </w:r>
    </w:p>
    <w:p>
      <w:pPr>
        <w:spacing w:before="0" w:after="120"/>
        <w:jc w:val="center"/>
      </w:pPr>
      <w:r>
        <w:rPr>
          <w:rFonts w:ascii="Times New Roman" w:cs="Times New Roman" w:eastAsia="Times New Roman" w:hAnsi="Times New Roman"/>
          <w:b/>
          <w:bCs/>
          <w:sz w:val="26"/>
          <w:szCs w:val="26"/>
        </w:rPr>
        <w:t xml:space="preserve">Afolabi, Babatope</w:t>
      </w:r>
    </w:p>
    <w:p>
      <w:pPr>
        <w:spacing w:before="0" w:after="100"/>
        <w:jc w:val="center"/>
      </w:pPr>
      <w:r>
        <w:rPr>
          <w:rFonts w:ascii="Times New Roman" w:cs="Times New Roman" w:eastAsia="Times New Roman" w:hAnsi="Times New Roman"/>
          <w:i/>
          <w:iCs/>
          <w:color w:val="5A5A5A"/>
          <w:sz w:val="22"/>
          <w:szCs w:val="22"/>
        </w:rPr>
        <w:t xml:space="preserve">Aevov Research · cr8OS Foundation · WPWakanda, LLC</w:t>
      </w:r>
    </w:p>
    <w:p>
      <w:pPr>
        <w:spacing w:before="0" w:after="80"/>
        <w:jc w:val="center"/>
      </w:pPr>
      <w:r>
        <w:rPr>
          <w:rFonts w:ascii="Times New Roman" w:cs="Times New Roman" w:eastAsia="Times New Roman" w:hAnsi="Times New Roman"/>
          <w:color w:val="1F4E79"/>
          <w:sz w:val="20"/>
          <w:szCs w:val="20"/>
        </w:rPr>
        <w:t xml:space="preserve">research@cr8os.com · ORCID: 0009-0002-9146-2587</w:t>
      </w:r>
    </w:p>
    <w:p>
      <w:pPr>
        <w:spacing w:before="0" w:after="300"/>
        <w:jc w:val="center"/>
      </w:pPr>
      <w:r>
        <w:rPr>
          <w:rFonts w:ascii="Times New Roman" w:cs="Times New Roman" w:eastAsia="Times New Roman" w:hAnsi="Times New Roman"/>
          <w:color w:val="5A5A5A"/>
          <w:sz w:val="22"/>
          <w:szCs w:val="22"/>
        </w:rPr>
        <w:t xml:space="preserve">March 2026</w:t>
      </w:r>
    </w:p>
    <w:p>
      <w:r>
        <w:t xml:space="preserve"/>
      </w:r>
    </w:p>
    <w:p>
      <w:pPr>
        <w:spacing w:before="0" w:after="80"/>
        <w:jc w:val="center"/>
      </w:pPr>
      <w:r>
        <w:rPr>
          <w:rFonts w:ascii="Times New Roman" w:cs="Times New Roman" w:eastAsia="Times New Roman" w:hAnsi="Times New Roman"/>
          <w:b/>
          <w:bCs/>
          <w:sz w:val="20"/>
          <w:szCs w:val="20"/>
        </w:rPr>
        <w:t xml:space="preserve">Foundation Papers:</w:t>
      </w:r>
    </w:p>
    <w:p>
      <w:pPr>
        <w:spacing w:before="0" w:after="70"/>
        <w:jc w:val="center"/>
      </w:pPr>
      <w:r>
        <w:rPr>
          <w:rFonts w:ascii="Times New Roman" w:cs="Times New Roman" w:eastAsia="Times New Roman" w:hAnsi="Times New Roman"/>
          <w:color w:val="1F4E79"/>
          <w:sz w:val="20"/>
          <w:szCs w:val="20"/>
        </w:rPr>
        <w:t xml:space="preserve">Quantum Mirror Theory — DOI: 10.5281/zenodo.18407686</w:t>
      </w:r>
    </w:p>
    <w:p>
      <w:pPr>
        <w:spacing w:before="0" w:after="70"/>
        <w:jc w:val="center"/>
      </w:pPr>
      <w:r>
        <w:rPr>
          <w:rFonts w:ascii="Times New Roman" w:cs="Times New Roman" w:eastAsia="Times New Roman" w:hAnsi="Times New Roman"/>
          <w:color w:val="1F4E79"/>
          <w:sz w:val="20"/>
          <w:szCs w:val="20"/>
        </w:rPr>
        <w:t xml:space="preserve">Resonance Physics — DOI: 10.5281/zenodo.18913463</w:t>
      </w:r>
    </w:p>
    <w:p>
      <w:pPr>
        <w:spacing w:before="0" w:after="70"/>
        <w:jc w:val="center"/>
      </w:pPr>
      <w:r>
        <w:rPr>
          <w:rFonts w:ascii="Times New Roman" w:cs="Times New Roman" w:eastAsia="Times New Roman" w:hAnsi="Times New Roman"/>
          <w:color w:val="1F4E79"/>
          <w:sz w:val="20"/>
          <w:szCs w:val="20"/>
        </w:rPr>
        <w:t xml:space="preserve">QMT-BLOOM AGI — DOI: 10.5281/zenodo.19244010</w:t>
      </w:r>
    </w:p>
    <w:p>
      <w:r>
        <w:t xml:space="preserve"/>
      </w:r>
    </w:p>
    <w:p>
      <w:r>
        <w:t xml:space="preserve"/>
      </w:r>
    </w:p>
    <w:p>
      <w:pPr>
        <w:pStyle w:val="Heading1"/>
        <w:spacing w:before="360" w:after="180"/>
      </w:pPr>
      <w:r>
        <w:rPr>
          <w:rFonts w:ascii="Times New Roman" w:cs="Times New Roman" w:eastAsia="Times New Roman" w:hAnsi="Times New Roman"/>
          <w:b/>
          <w:bCs/>
          <w:sz w:val="30"/>
          <w:szCs w:val="30"/>
        </w:rPr>
        <w:t xml:space="preserve">Abstract</w:t>
      </w:r>
    </w:p>
    <w:p>
      <w:pPr>
        <w:spacing w:before="100" w:after="140" w:line="360" w:lineRule="auto"/>
        <w:ind w:firstLine="720"/>
        <w:jc w:val="both"/>
      </w:pPr>
      <w:r>
        <w:rPr>
          <w:rFonts w:ascii="Times New Roman" w:cs="Times New Roman" w:eastAsia="Times New Roman" w:hAnsi="Times New Roman"/>
          <w:sz w:val="24"/>
          <w:szCs w:val="24"/>
        </w:rPr>
        <w:t xml:space="preserve">Every major artificial intelligence system deployed in 2026 — large language models, multimodal foundation models, reinforcement learning agents — shares a fundamental architectural property: opacity. The reasoning path from input to output is not traceable in any causally meaningful sense. Post-hoc explainability methods (LIME, SHAP, attention visualisation, sparse autoencoders, mechanistic interpretability) attempt to reverse-engineer explanations from systems not designed to produce them. These methods are approximations, not explanations. They describe statistical correlates of the output, not its causes.</w:t>
      </w:r>
    </w:p>
    <w:p>
      <w:pPr>
        <w:spacing w:before="100" w:after="140" w:line="360" w:lineRule="auto"/>
        <w:ind w:firstLine="720"/>
        <w:jc w:val="both"/>
      </w:pPr>
      <w:r>
        <w:rPr>
          <w:rFonts w:ascii="Times New Roman" w:cs="Times New Roman" w:eastAsia="Times New Roman" w:hAnsi="Times New Roman"/>
          <w:sz w:val="24"/>
          <w:szCs w:val="24"/>
        </w:rPr>
        <w:t xml:space="preserve">We present the BLOOM (Bilateral Learning Optimised Oscillatory Memory) distributed neuro-symbolic architecture as the first AI system in which explainability and transparency are structurally native — arising from the architecture itself, not retrofitted after deployment. BLOOM's native explainability emerges from three structural sources: (1) the APS (Aevov Pattern Sync) Protocol, which propagates pattern consensus through explicit auditable synchronisation chains rather than implicit weight matrix operations; (2) the Proof of Contribution (PoC) consensus mechanism, which cryptographically attributes every pattern in every output to its originating node; and (3) the Z_M field impedance structure of Afolabi Field Theory (AFT), which provides a physical substrate for pattern provenance — patterns at different Z_M levels are physically distinguishable, not merely statistically distinguishable.</w:t>
      </w:r>
    </w:p>
    <w:p>
      <w:pPr>
        <w:spacing w:before="100" w:after="140" w:line="360" w:lineRule="auto"/>
        <w:ind w:firstLine="720"/>
        <w:jc w:val="both"/>
      </w:pPr>
      <w:r>
        <w:rPr>
          <w:rFonts w:ascii="Times New Roman" w:cs="Times New Roman" w:eastAsia="Times New Roman" w:hAnsi="Times New Roman"/>
          <w:sz w:val="24"/>
          <w:szCs w:val="24"/>
        </w:rPr>
        <w:t xml:space="preserve">We establish a formal five-level explainability taxonomy (XAI-0 through XAI-4), prove that all transformer-based systems are architecturally bounded at XAI-1 (post-hoc statistical correlation), and demonstrate that BLOOM achieves XAI-3 (structural causal provenance) natively. We map this to EU AI Act Article 13 requirements, US Executive Order on AI mandates, FDA AI/ML guidance, and SR 11-7 model risk management. Six falsifiable predictions distinguish BLOOM's structural explainability from post-hoc approximations. The first-in-world native explainability claim is precisely bounded and defended against the most likely technical challenges.</w:t>
      </w:r>
    </w:p>
    <w:p>
      <w:r>
        <w:t xml:space="preserve"/>
      </w:r>
    </w:p>
    <w:p>
      <w:pPr>
        <w:spacing w:before="100" w:after="14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explainable AI, XAI, native explainability, BLOOM engine, APS Protocol, Proof of Contribution, pattern provenance, AI transparency, EU AI Act, cryptographic attribution, neuro-symbolic AI, distributed AI, AUF, causal AI, regulatory AI, trustworthy AI, AI governance, mechanistic interpretability, model transparency, first-in-world XAI</w:t>
      </w:r>
    </w:p>
    <w:p>
      <w:pPr>
        <w:pStyle w:val="Heading1"/>
        <w:spacing w:before="360" w:after="180"/>
      </w:pPr>
      <w:r>
        <w:rPr>
          <w:rFonts w:ascii="Times New Roman" w:cs="Times New Roman" w:eastAsia="Times New Roman" w:hAnsi="Times New Roman"/>
          <w:b/>
          <w:bCs/>
          <w:sz w:val="30"/>
          <w:szCs w:val="30"/>
        </w:rPr>
        <w:t xml:space="preserve">1. Introduction: The Explainability Crisis in AI</w:t>
      </w:r>
    </w:p>
    <w:p>
      <w:pPr>
        <w:spacing w:before="100" w:after="140" w:line="360" w:lineRule="auto"/>
        <w:ind w:firstLine="720"/>
        <w:jc w:val="both"/>
      </w:pPr>
      <w:r>
        <w:rPr>
          <w:rFonts w:ascii="Times New Roman" w:cs="Times New Roman" w:eastAsia="Times New Roman" w:hAnsi="Times New Roman"/>
          <w:sz w:val="24"/>
          <w:szCs w:val="24"/>
        </w:rPr>
        <w:t xml:space="preserve">The deployment of AI in high-stakes domains has collided with a fundamental architectural limitation: the systems cannot explain themselves. This is not a failure of effort. The world's leading AI research organisations actively invest in mechanistic interpretability, sparse autoencoders, and causal analysis. The failure is architectural. Transformer-based systems were not designed to be explainable, and their architecture makes structural explainability impossible in principle.</w:t>
      </w:r>
    </w:p>
    <w:p>
      <w:pPr>
        <w:spacing w:before="100" w:after="140" w:line="360" w:lineRule="auto"/>
        <w:ind w:firstLine="720"/>
        <w:jc w:val="both"/>
      </w:pPr>
      <w:r>
        <w:rPr>
          <w:rFonts w:ascii="Times New Roman" w:cs="Times New Roman" w:eastAsia="Times New Roman" w:hAnsi="Times New Roman"/>
          <w:sz w:val="24"/>
          <w:szCs w:val="24"/>
        </w:rPr>
        <w:t xml:space="preserve">The regulatory response is accelerating simultaneously. The EU AI Act mandates that high-risk AI systems provide explanations sufficient for human oversight. The US Executive Order on Safe, Secure, and Trustworthy AI requires explainability standards for federal AI. The FDA's AI/ML Software as a Medical Device guidance requires traceability of AI decision pathways. SR 11-7 requires financial institutions to understand and explain model outputs. Healthcare, legal, financial, and national security deployments all face the same requirement: explain the output.</w:t>
      </w:r>
    </w:p>
    <w:p>
      <w:pPr>
        <w:spacing w:before="100" w:after="140" w:line="360" w:lineRule="auto"/>
        <w:ind w:firstLine="720"/>
        <w:jc w:val="both"/>
      </w:pPr>
      <w:r>
        <w:rPr>
          <w:rFonts w:ascii="Times New Roman" w:cs="Times New Roman" w:eastAsia="Times New Roman" w:hAnsi="Times New Roman"/>
          <w:sz w:val="24"/>
          <w:szCs w:val="24"/>
        </w:rPr>
        <w:t xml:space="preserve">Every existing system attempting to meet these requirements does so through post-hoc approximation. The approximations are valuable engineering contributions. They are not structural explanations. BLOOM is architecturally different — its explainability is a consequence of how the system operates, not a feature applied after design.</w:t>
      </w:r>
    </w:p>
    <w:p>
      <w:pPr>
        <w:pStyle w:val="Heading2"/>
        <w:spacing w:before="280" w:after="140"/>
      </w:pPr>
      <w:r>
        <w:rPr>
          <w:rFonts w:ascii="Times New Roman" w:cs="Times New Roman" w:eastAsia="Times New Roman" w:hAnsi="Times New Roman"/>
          <w:b/>
          <w:bCs/>
          <w:sz w:val="26"/>
          <w:szCs w:val="26"/>
        </w:rPr>
        <w:t xml:space="preserve">1.1 The Core Distinction</w:t>
      </w:r>
    </w:p>
    <w:p>
      <w:pPr>
        <w:pBdr>
          <w:left w:val="single" w:color="1F4E79" w:sz="16" w:space="10"/>
        </w:pBdr>
        <w:spacing w:before="180" w:after="180"/>
        <w:ind w:left="720"/>
      </w:pPr>
      <w:r>
        <w:rPr>
          <w:rFonts w:ascii="Times New Roman" w:cs="Times New Roman" w:eastAsia="Times New Roman" w:hAnsi="Times New Roman"/>
          <w:i/>
          <w:iCs/>
          <w:sz w:val="23"/>
          <w:szCs w:val="23"/>
        </w:rPr>
        <w:t xml:space="preserve">RETROFITTED EXPLAINABILITY: A system produces output through an opaque process. An explanation tool approximates why. The explanation is a model of a model — a second approximation layered on the first, which may itself be incorrect. STRUCTURAL EXPLAINABILITY: The system produces output through a process that is itself the explanation. The reasoning path and the output path are the same path. No second approximation is required and none can introduce error.</w:t>
      </w:r>
    </w:p>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This distinction has direct regulatory consequence. A retrofitted explanation can be wrong — the approximation tool can misidentify the actual causes of the output, producing a confident but incorrect rationale. This has already occurred: LIME and SHAP explanations have been demonstrated to be inconsistent with each other and with the actual model behaviour in multiple peer-reviewed studies. A structural explanation cannot be wrong in this sense — it is the actual process.</w:t>
      </w:r>
    </w:p>
    <w:p>
      <w:pPr>
        <w:pStyle w:val="Heading1"/>
        <w:spacing w:before="360" w:after="180"/>
      </w:pPr>
      <w:r>
        <w:rPr>
          <w:rFonts w:ascii="Times New Roman" w:cs="Times New Roman" w:eastAsia="Times New Roman" w:hAnsi="Times New Roman"/>
          <w:b/>
          <w:bCs/>
          <w:sz w:val="30"/>
          <w:szCs w:val="30"/>
        </w:rPr>
        <w:t xml:space="preserve">2. A Formal Taxonomy of AI Explainability (XAI-0 through XAI-4)</w:t>
      </w:r>
    </w:p>
    <w:p>
      <w:pPr>
        <w:spacing w:before="100" w:after="140" w:line="360" w:lineRule="auto"/>
        <w:ind w:firstLine="720"/>
        <w:jc w:val="both"/>
      </w:pPr>
      <w:r>
        <w:rPr>
          <w:rFonts w:ascii="Times New Roman" w:cs="Times New Roman" w:eastAsia="Times New Roman" w:hAnsi="Times New Roman"/>
          <w:sz w:val="24"/>
          <w:szCs w:val="24"/>
        </w:rPr>
        <w:t xml:space="preserve">We establish a five-level taxonomy to precisely locate existing systems and BLOOM within the explainability landscape: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160"/>
        <w:gridCol w:w="2400"/>
        <w:gridCol w:w="220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Level</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Name</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Definition</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Method</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Examples</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XAI-0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Total opacity</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 explanation possible or provided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None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Early neural networks, proprietary black-box APIs</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XAI-1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Post-hoc statistical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Statistical correlations between inputs and outputs approximated after the fact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LIME, SHAP, attention weights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GPT-4, Claude, Gemini, LLaMA — ALL transformer LLMs</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XAI-2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Mechanistic approximation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Internal activations and circuits identified post-hoc as proxies for reasoning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Sparse autoencoders, circuit analysis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Anthropic interpretability research, Goodfire Evo 2 analysis</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XAI-3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Structural causal provenance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Every output element is causally traceable to its originating process by design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Native to architecture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BLOOM (APS Protocol + PoC) — this paper</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XAI-4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Full formal verifiability</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Output provenance is formally verified and mathematically proven for all inputs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Formal verification + native provenance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Theoretical — not yet achieved by any system</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The taxonomy reveals a critical observation: the entire transformer-based AI industry — every LLM, every foundation model, every RLHF-trained agent — is bounded at XAI-1 by architectural necessity. This is not a matter of investment or effort. The transformer architecture does not retain causal process information during inference. It produces outputs through matrix multiplications whose intermediate states are not meaningful explanatory units. Attention weights are outputs of the process, not causes of it.</w:t>
      </w:r>
    </w:p>
    <w:p>
      <w:pPr>
        <w:pStyle w:val="Heading2"/>
        <w:spacing w:before="280" w:after="140"/>
      </w:pPr>
      <w:r>
        <w:rPr>
          <w:rFonts w:ascii="Times New Roman" w:cs="Times New Roman" w:eastAsia="Times New Roman" w:hAnsi="Times New Roman"/>
          <w:b/>
          <w:bCs/>
          <w:sz w:val="26"/>
          <w:szCs w:val="26"/>
        </w:rPr>
        <w:t xml:space="preserve">2.1 Why Transformers Cannot Exceed XAI-1</w:t>
      </w:r>
    </w:p>
    <w:p>
      <w:pPr>
        <w:spacing w:before="100" w:after="140" w:line="360" w:lineRule="auto"/>
        <w:ind w:firstLine="720"/>
        <w:jc w:val="both"/>
      </w:pPr>
      <w:r>
        <w:rPr>
          <w:rFonts w:ascii="Times New Roman" w:cs="Times New Roman" w:eastAsia="Times New Roman" w:hAnsi="Times New Roman"/>
          <w:sz w:val="24"/>
          <w:szCs w:val="24"/>
        </w:rPr>
        <w:t xml:space="preserve">The transformer inference process for a token prediction is:</w:t>
      </w:r>
    </w:p>
    <w:p>
      <w:pPr>
        <w:spacing w:before="200" w:after="200"/>
        <w:jc w:val="center"/>
      </w:pPr>
      <w:r>
        <w:rPr>
          <w:rFonts w:ascii="Cambria Math" w:cs="Cambria Math" w:eastAsia="Cambria Math" w:hAnsi="Cambria Math"/>
          <w:i/>
          <w:iCs/>
          <w:color w:val="1F4E79"/>
          <w:sz w:val="26"/>
          <w:szCs w:val="26"/>
        </w:rPr>
        <w:t xml:space="preserve">y = softmax(W_O · MHA(x, W_Q, W_K, W_V) + W_FF · ReLU(W_1 · x + b_1) + b_2)</w:t>
      </w:r>
    </w:p>
    <w:p>
      <w:pPr>
        <w:spacing w:before="100" w:after="140" w:line="360" w:lineRule="auto"/>
        <w:ind w:firstLine="720"/>
        <w:jc w:val="both"/>
      </w:pPr>
      <w:r>
        <w:rPr>
          <w:rFonts w:ascii="Times New Roman" w:cs="Times New Roman" w:eastAsia="Times New Roman" w:hAnsi="Times New Roman"/>
          <w:sz w:val="24"/>
          <w:szCs w:val="24"/>
        </w:rPr>
        <w:t xml:space="preserve">The output y is a function of the input x through hundreds of layers of such operations. The intermediate states — attention matrices, residual stream activations, MLP outputs — are not explanatory units. They are computational artefacts of the matrix operations. When a SHAP explanation assigns importance scores to input tokens, it is computing the gradient of the output with respect to those inputs — a mathematical property of the function, not a causal explanation of why the model produced the output.</w:t>
      </w:r>
    </w:p>
    <w:p>
      <w:pPr>
        <w:spacing w:before="100" w:after="140" w:line="360" w:lineRule="auto"/>
        <w:ind w:firstLine="720"/>
        <w:jc w:val="both"/>
      </w:pPr>
      <w:r>
        <w:rPr>
          <w:rFonts w:ascii="Times New Roman" w:cs="Times New Roman" w:eastAsia="Times New Roman" w:hAnsi="Times New Roman"/>
          <w:sz w:val="24"/>
          <w:szCs w:val="24"/>
        </w:rPr>
        <w:t xml:space="preserve">Mechanistic interpretability (XAI-2) makes progress by identifying circuits — recurring patterns of attention heads and MLP neurons that correspond to specific behaviours. This is genuine scientific progress. But it remains a post-hoc identification: the circuits are found after training, not designed before it. The model did not use the circuit to explain itself — the researcher found the circuit and assigned it an explanation. The model itself has no access to this explanation during inference.</w:t>
      </w:r>
    </w:p>
    <w:p>
      <w:pPr>
        <w:pBdr>
          <w:left w:val="single" w:color="2E74B5" w:sz="16" w:space="10"/>
        </w:pBdr>
        <w:spacing w:before="180" w:after="180"/>
        <w:ind w:left="720"/>
      </w:pPr>
      <w:r>
        <w:rPr>
          <w:rFonts w:ascii="Times New Roman" w:cs="Times New Roman" w:eastAsia="Times New Roman" w:hAnsi="Times New Roman"/>
          <w:i/>
          <w:iCs/>
          <w:sz w:val="23"/>
          <w:szCs w:val="23"/>
        </w:rPr>
        <w:t xml:space="preserve">A transformer cannot tell you why it said what it said. It can only say it again, in different words. The explanation and the output are produced by the same opaque process. BLOOM's process is the explanation.</w:t>
      </w:r>
    </w:p>
    <w:p>
      <w:r>
        <w:t xml:space="preserve"/>
      </w:r>
    </w:p>
    <w:p>
      <w:pPr>
        <w:pStyle w:val="Heading1"/>
        <w:spacing w:before="360" w:after="180"/>
      </w:pPr>
      <w:r>
        <w:rPr>
          <w:rFonts w:ascii="Times New Roman" w:cs="Times New Roman" w:eastAsia="Times New Roman" w:hAnsi="Times New Roman"/>
          <w:b/>
          <w:bCs/>
          <w:sz w:val="30"/>
          <w:szCs w:val="30"/>
        </w:rPr>
        <w:t xml:space="preserve">3. BLOOM's Three Sources of Native Explainability</w:t>
      </w:r>
    </w:p>
    <w:p>
      <w:pPr>
        <w:pStyle w:val="Heading2"/>
        <w:spacing w:before="280" w:after="140"/>
      </w:pPr>
      <w:r>
        <w:rPr>
          <w:rFonts w:ascii="Times New Roman" w:cs="Times New Roman" w:eastAsia="Times New Roman" w:hAnsi="Times New Roman"/>
          <w:b/>
          <w:bCs/>
          <w:sz w:val="26"/>
          <w:szCs w:val="26"/>
        </w:rPr>
        <w:t xml:space="preserve">3.1 Source 1: The APS Protocol — Explicit Synchronisation Chains</w:t>
      </w:r>
    </w:p>
    <w:p>
      <w:pPr>
        <w:spacing w:before="100" w:after="140" w:line="360" w:lineRule="auto"/>
        <w:ind w:firstLine="720"/>
        <w:jc w:val="both"/>
      </w:pPr>
      <w:r>
        <w:rPr>
          <w:rFonts w:ascii="Times New Roman" w:cs="Times New Roman" w:eastAsia="Times New Roman" w:hAnsi="Times New Roman"/>
          <w:sz w:val="24"/>
          <w:szCs w:val="24"/>
        </w:rPr>
        <w:t xml:space="preserve">The APS (Aevov Pattern Sync) Protocol is BLOOM's core propagation mechanism. Unlike transformer attention — which computes similarity scores between all token pairs simultaneously through a single matrix operation — APS propagates pattern consensus through an explicit peer-to-peer synchronisation chain:</w:t>
      </w:r>
    </w:p>
    <w:p>
      <w:pPr>
        <w:spacing w:before="100" w:after="140" w:line="360" w:lineRule="auto"/>
        <w:ind w:firstLine="720"/>
        <w:jc w:val="both"/>
      </w:pPr>
      <w:r>
        <w:rPr>
          <w:rFonts w:ascii="Times New Roman" w:cs="Times New Roman" w:eastAsia="Times New Roman" w:hAnsi="Times New Roman"/>
          <w:sz w:val="24"/>
          <w:szCs w:val="24"/>
        </w:rPr>
        <w:t xml:space="preserve">Step 1 — Pattern Intake: The local node identifies candidate patterns in the input through its Pattern Registry. Each candidate pattern is assigned a provisional Z_M signature based on its field impedance — its degree of resonance with the local AUF field state.</w:t>
      </w:r>
    </w:p>
    <w:p>
      <w:pPr>
        <w:spacing w:before="100" w:after="140" w:line="360" w:lineRule="auto"/>
        <w:ind w:firstLine="720"/>
        <w:jc w:val="both"/>
      </w:pPr>
      <w:r>
        <w:rPr>
          <w:rFonts w:ascii="Times New Roman" w:cs="Times New Roman" w:eastAsia="Times New Roman" w:hAnsi="Times New Roman"/>
          <w:sz w:val="24"/>
          <w:szCs w:val="24"/>
        </w:rPr>
        <w:t xml:space="preserve">Step 2 — BLOOM Scan: The node queries neighbouring nodes for pattern corroboration. Neighbouring nodes return their own Z_M assessments of the same candidate patterns. Disagreements are logged as explicit uncertainty signals — not averaged away.</w:t>
      </w:r>
    </w:p>
    <w:p>
      <w:pPr>
        <w:spacing w:before="100" w:after="140" w:line="360" w:lineRule="auto"/>
        <w:ind w:firstLine="720"/>
        <w:jc w:val="both"/>
      </w:pPr>
      <w:r>
        <w:rPr>
          <w:rFonts w:ascii="Times New Roman" w:cs="Times New Roman" w:eastAsia="Times New Roman" w:hAnsi="Times New Roman"/>
          <w:sz w:val="24"/>
          <w:szCs w:val="24"/>
        </w:rPr>
        <w:t xml:space="preserve">Step 3 — APS Consensus: The network reaches consensus on pattern identity through a Kuramoto-like phase-locking process. The consensus record — which patterns were corroborated by which nodes, with what Z_M values, through what synchronisation path — is the explanation. It is produced as a byproduct of the inference process, not reconstructed afterward.</w:t>
      </w:r>
    </w:p>
    <w:p>
      <w:pPr>
        <w:spacing w:before="100" w:after="140" w:line="360" w:lineRule="auto"/>
        <w:ind w:firstLine="720"/>
        <w:jc w:val="both"/>
      </w:pPr>
      <w:r>
        <w:rPr>
          <w:rFonts w:ascii="Times New Roman" w:cs="Times New Roman" w:eastAsia="Times New Roman" w:hAnsi="Times New Roman"/>
          <w:sz w:val="24"/>
          <w:szCs w:val="24"/>
        </w:rPr>
        <w:t xml:space="preserve">The APS chain is auditable at every step. An external auditor, regulator, or user can inspect the synchronisation chain for any output and trace exactly which patterns contributed, which nodes corroborated them, and what the consensus process looked like. This is not an approximation of the reasoning — it is the reasoning.</w:t>
      </w:r>
    </w:p>
    <w:p>
      <w:pPr>
        <w:spacing w:before="200" w:after="200"/>
        <w:jc w:val="center"/>
      </w:pPr>
      <w:r>
        <w:rPr>
          <w:rFonts w:ascii="Cambria Math" w:cs="Cambria Math" w:eastAsia="Cambria Math" w:hAnsi="Cambria Math"/>
          <w:i/>
          <w:iCs/>
          <w:color w:val="1F4E79"/>
          <w:sz w:val="26"/>
          <w:szCs w:val="26"/>
        </w:rPr>
        <w:t xml:space="preserve">Output(x) = APS_consensus(Pattern_intake(x), {corroboration_i}, Z_M_consensus)</w:t>
      </w:r>
    </w:p>
    <w:p>
      <w:pPr>
        <w:spacing w:before="100" w:after="140" w:line="360" w:lineRule="auto"/>
        <w:ind w:firstLine="720"/>
        <w:jc w:val="both"/>
      </w:pPr>
      <w:r>
        <w:rPr>
          <w:rFonts w:ascii="Times New Roman" w:cs="Times New Roman" w:eastAsia="Times New Roman" w:hAnsi="Times New Roman"/>
          <w:sz w:val="24"/>
          <w:szCs w:val="24"/>
        </w:rPr>
        <w:t xml:space="preserve">Every term in this equation is explicit and logged. No hidden state exists between input and output.</w:t>
      </w:r>
    </w:p>
    <w:p>
      <w:pPr>
        <w:pStyle w:val="Heading2"/>
        <w:spacing w:before="280" w:after="140"/>
      </w:pPr>
      <w:r>
        <w:rPr>
          <w:rFonts w:ascii="Times New Roman" w:cs="Times New Roman" w:eastAsia="Times New Roman" w:hAnsi="Times New Roman"/>
          <w:b/>
          <w:bCs/>
          <w:sz w:val="26"/>
          <w:szCs w:val="26"/>
        </w:rPr>
        <w:t xml:space="preserve">3.2 Source 2: Proof of Contribution — Cryptographic Pattern Attribution</w:t>
      </w:r>
    </w:p>
    <w:p>
      <w:pPr>
        <w:spacing w:before="100" w:after="140" w:line="360" w:lineRule="auto"/>
        <w:ind w:firstLine="720"/>
        <w:jc w:val="both"/>
      </w:pPr>
      <w:r>
        <w:rPr>
          <w:rFonts w:ascii="Times New Roman" w:cs="Times New Roman" w:eastAsia="Times New Roman" w:hAnsi="Times New Roman"/>
          <w:sz w:val="24"/>
          <w:szCs w:val="24"/>
        </w:rPr>
        <w:t xml:space="preserve">The Proof of Contribution (PoC) mechanism is BLOOM's attribution layer — the cryptographic system that makes pattern provenance not just traceable but unforgeable. Every pattern that enters the BLOOM mesh carries a PoC signature:</w:t>
      </w:r>
    </w:p>
    <w:p>
      <w:pPr>
        <w:pBdr>
          <w:left w:val="single" w:color="2E74B5" w:sz="10" w:space="8"/>
        </w:pBdr>
        <w:spacing w:before="160" w:after="160"/>
        <w:ind w:left="720"/>
      </w:pPr>
      <w:r>
        <w:rPr>
          <w:rFonts w:ascii="Times New Roman" w:cs="Times New Roman" w:eastAsia="Times New Roman" w:hAnsi="Times New Roman"/>
          <w:b/>
          <w:bCs/>
          <w:color w:val="2E74B5"/>
          <w:sz w:val="24"/>
          <w:szCs w:val="24"/>
        </w:rPr>
        <w:t xml:space="preserve">PoC(pattern, node_id, timestamp): </w:t>
      </w:r>
      <w:r>
        <w:rPr>
          <w:rFonts w:ascii="Times New Roman" w:cs="Times New Roman" w:eastAsia="Times New Roman" w:hAnsi="Times New Roman"/>
          <w:sz w:val="24"/>
          <w:szCs w:val="24"/>
        </w:rPr>
        <w:t xml:space="preserve">= Hash(pattern_content || node_id || timestamp || prev_hash)</w:t>
      </w:r>
    </w:p>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This is a blockchain-like hash chain that cryptographically links each pattern to its originating node and the sequence of nodes that corroborated it. Properties:</w:t>
      </w:r>
    </w:p>
    <w:p>
      <w:pPr>
        <w:spacing w:before="100" w:after="140" w:line="360" w:lineRule="auto"/>
        <w:ind w:firstLine="720"/>
        <w:jc w:val="both"/>
      </w:pPr>
      <w:r>
        <w:rPr>
          <w:rFonts w:ascii="Times New Roman" w:cs="Times New Roman" w:eastAsia="Times New Roman" w:hAnsi="Times New Roman"/>
          <w:sz w:val="24"/>
          <w:szCs w:val="24"/>
        </w:rPr>
        <w:t xml:space="preserve">Unforgeability: The PoC cannot be altered without invalidating the hash chain — any retroactive modification of attribution is detectable.</w:t>
      </w:r>
    </w:p>
    <w:p>
      <w:pPr>
        <w:spacing w:before="100" w:after="140" w:line="360" w:lineRule="auto"/>
        <w:ind w:firstLine="720"/>
        <w:jc w:val="both"/>
      </w:pPr>
      <w:r>
        <w:rPr>
          <w:rFonts w:ascii="Times New Roman" w:cs="Times New Roman" w:eastAsia="Times New Roman" w:hAnsi="Times New Roman"/>
          <w:sz w:val="24"/>
          <w:szCs w:val="24"/>
        </w:rPr>
        <w:t xml:space="preserve">Non-repudiation: A node cannot deny contributing a pattern that carries its PoC signature.</w:t>
      </w:r>
    </w:p>
    <w:p>
      <w:pPr>
        <w:spacing w:before="100" w:after="140" w:line="360" w:lineRule="auto"/>
        <w:ind w:firstLine="720"/>
        <w:jc w:val="both"/>
      </w:pPr>
      <w:r>
        <w:rPr>
          <w:rFonts w:ascii="Times New Roman" w:cs="Times New Roman" w:eastAsia="Times New Roman" w:hAnsi="Times New Roman"/>
          <w:sz w:val="24"/>
          <w:szCs w:val="24"/>
        </w:rPr>
        <w:t xml:space="preserve">Completeness: Every pattern in every output has a complete PoC chain from origin through consensus to output. There are no unattributed components.</w:t>
      </w:r>
    </w:p>
    <w:p>
      <w:pPr>
        <w:spacing w:before="100" w:after="140" w:line="360" w:lineRule="auto"/>
        <w:ind w:firstLine="720"/>
        <w:jc w:val="both"/>
      </w:pPr>
      <w:r>
        <w:rPr>
          <w:rFonts w:ascii="Times New Roman" w:cs="Times New Roman" w:eastAsia="Times New Roman" w:hAnsi="Times New Roman"/>
          <w:sz w:val="24"/>
          <w:szCs w:val="24"/>
        </w:rPr>
        <w:t xml:space="preserve">Audit accessibility: The PoC chain is accessible to authorised auditors, regulators, and (in appropriate governance frameworks) users — without exposing the underlying model internals of contributing nodes.</w:t>
      </w:r>
    </w:p>
    <w:p>
      <w:pPr>
        <w:spacing w:before="100" w:after="140" w:line="360" w:lineRule="auto"/>
        <w:ind w:firstLine="720"/>
        <w:jc w:val="both"/>
      </w:pPr>
      <w:r>
        <w:rPr>
          <w:rFonts w:ascii="Times New Roman" w:cs="Times New Roman" w:eastAsia="Times New Roman" w:hAnsi="Times New Roman"/>
          <w:sz w:val="24"/>
          <w:szCs w:val="24"/>
        </w:rPr>
        <w:t xml:space="preserve">The regulatory implication is direct: for any BLOOM output, an authorised party can request the PoC audit trail and receive a cryptographically verified record of exactly which patterns contributed to the output, which nodes provided them, and what the consensus process determined. This satisfies EU AI Act Article 13 transparency requirements at a technical depth that post-hoc SHAP explanations cannot approach.</w:t>
      </w:r>
    </w:p>
    <w:p>
      <w:pPr>
        <w:pStyle w:val="Heading2"/>
        <w:spacing w:before="280" w:after="140"/>
      </w:pPr>
      <w:r>
        <w:rPr>
          <w:rFonts w:ascii="Times New Roman" w:cs="Times New Roman" w:eastAsia="Times New Roman" w:hAnsi="Times New Roman"/>
          <w:b/>
          <w:bCs/>
          <w:sz w:val="26"/>
          <w:szCs w:val="26"/>
        </w:rPr>
        <w:t xml:space="preserve">3.3 Source 3: Z_M Field Impedance — Physical Pattern Distinguishability</w:t>
      </w:r>
    </w:p>
    <w:p>
      <w:pPr>
        <w:spacing w:before="100" w:after="140" w:line="360" w:lineRule="auto"/>
        <w:ind w:firstLine="720"/>
        <w:jc w:val="both"/>
      </w:pPr>
      <w:r>
        <w:rPr>
          <w:rFonts w:ascii="Times New Roman" w:cs="Times New Roman" w:eastAsia="Times New Roman" w:hAnsi="Times New Roman"/>
          <w:sz w:val="24"/>
          <w:szCs w:val="24"/>
        </w:rPr>
        <w:t xml:space="preserve">The deepest source of BLOOM's native explainability is the AUF physics substrate. In Afolabi Field Theory (AFT), the Z_M field impedance operator assigns a physical signature to every pattern — not just a statistical signature but a field-theoretic one. Patterns at different Z_M levels are physically distinguishable states of the Afolabi Field, not merely different probability distributions over tokens.</w:t>
      </w:r>
    </w:p>
    <w:p>
      <w:pPr>
        <w:spacing w:before="100" w:after="140" w:line="360" w:lineRule="auto"/>
        <w:ind w:firstLine="720"/>
        <w:jc w:val="both"/>
      </w:pPr>
      <w:r>
        <w:rPr>
          <w:rFonts w:ascii="Times New Roman" w:cs="Times New Roman" w:eastAsia="Times New Roman" w:hAnsi="Times New Roman"/>
          <w:sz w:val="24"/>
          <w:szCs w:val="24"/>
        </w:rPr>
        <w:t xml:space="preserve">The practical consequence for explainability: Z_M provides a physically grounded classification of patterns that is independent of the statistical properties of any training dataset. A pattern classified as Z_M ≈ 0 (field-coherent, stable) and a pattern classified as Z_M ≈ 0.5 (field-incoherent, unstable) are physically different, not just statistically different. This means the Z_M level of a pattern is not a learned feature that could be an artefact of training distribution — it is a physical property of the pattern's relationship to the AUF field.</w:t>
      </w:r>
    </w:p>
    <w:p>
      <w:pPr>
        <w:spacing w:before="100" w:after="140" w:line="360" w:lineRule="auto"/>
        <w:ind w:firstLine="720"/>
        <w:jc w:val="both"/>
      </w:pPr>
      <w:r>
        <w:rPr>
          <w:rFonts w:ascii="Times New Roman" w:cs="Times New Roman" w:eastAsia="Times New Roman" w:hAnsi="Times New Roman"/>
          <w:sz w:val="24"/>
          <w:szCs w:val="24"/>
        </w:rPr>
        <w:t xml:space="preserve">For explainability: when BLOOM attributes an output to patterns at a specific Z_M level, this attribution is physically grounded. It is not subject to the distribution shift problem that makes SHAP explanations unreliable out-of-distribution — because the Z_M classification does not depend on the training distribution.</w:t>
      </w:r>
    </w:p>
    <w:p>
      <w:pPr>
        <w:spacing w:before="200" w:after="200"/>
        <w:jc w:val="center"/>
      </w:pPr>
      <w:r>
        <w:rPr>
          <w:rFonts w:ascii="Cambria Math" w:cs="Cambria Math" w:eastAsia="Cambria Math" w:hAnsi="Cambria Math"/>
          <w:i/>
          <w:iCs/>
          <w:color w:val="1F4E79"/>
          <w:sz w:val="26"/>
          <w:szCs w:val="26"/>
        </w:rPr>
        <w:t xml:space="preserve">Explanation(output) = {(pattern_i, Z_M_i, PoC_i, node_i) : pattern_i contributed to output}</w:t>
      </w:r>
    </w:p>
    <w:p>
      <w:pPr>
        <w:spacing w:before="100" w:after="140" w:line="360" w:lineRule="auto"/>
        <w:ind w:firstLine="720"/>
        <w:jc w:val="both"/>
      </w:pPr>
      <w:r>
        <w:rPr>
          <w:rFonts w:ascii="Times New Roman" w:cs="Times New Roman" w:eastAsia="Times New Roman" w:hAnsi="Times New Roman"/>
          <w:sz w:val="24"/>
          <w:szCs w:val="24"/>
        </w:rPr>
        <w:t xml:space="preserve">Every element of this explanation set is physically grounded (Z_M), cryptographically attributed (PoC), and node-specific. This is XAI-3 structural causal provenance.</w:t>
      </w:r>
    </w:p>
    <w:p>
      <w:pPr>
        <w:pStyle w:val="Heading1"/>
        <w:spacing w:before="360" w:after="180"/>
      </w:pPr>
      <w:r>
        <w:rPr>
          <w:rFonts w:ascii="Times New Roman" w:cs="Times New Roman" w:eastAsia="Times New Roman" w:hAnsi="Times New Roman"/>
          <w:b/>
          <w:bCs/>
          <w:sz w:val="30"/>
          <w:szCs w:val="30"/>
        </w:rPr>
        <w:t xml:space="preserve">4. Regulatory Mapping: BLOOM's Native XAI and Legal Requirements</w:t>
      </w:r>
    </w:p>
    <w:p>
      <w:pPr>
        <w:pStyle w:val="Heading2"/>
        <w:spacing w:before="280" w:after="140"/>
      </w:pPr>
      <w:r>
        <w:rPr>
          <w:rFonts w:ascii="Times New Roman" w:cs="Times New Roman" w:eastAsia="Times New Roman" w:hAnsi="Times New Roman"/>
          <w:b/>
          <w:bCs/>
          <w:sz w:val="26"/>
          <w:szCs w:val="26"/>
        </w:rPr>
        <w:t xml:space="preserve">4.1 EU AI Act Article 13 — Transparency</w:t>
      </w:r>
    </w:p>
    <w:p>
      <w:pPr>
        <w:spacing w:before="100" w:after="140" w:line="360" w:lineRule="auto"/>
        <w:ind w:firstLine="720"/>
        <w:jc w:val="both"/>
      </w:pPr>
      <w:r>
        <w:rPr>
          <w:rFonts w:ascii="Times New Roman" w:cs="Times New Roman" w:eastAsia="Times New Roman" w:hAnsi="Times New Roman"/>
          <w:sz w:val="24"/>
          <w:szCs w:val="24"/>
        </w:rPr>
        <w:t xml:space="preserve">Article 13 of the EU AI Act requires that high-risk AI systems are designed and developed in such a way as to ensure that their operation is sufficiently transparent to enable users to interpret the system's output and use it appropriately. The Article specifies that providers must ensure systems are accompanied by instructions for use including information enabling users to interpret and use the system's output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EU AI Act Requirement</w:t>
            </w:r>
          </w:p>
        </w:tc>
        <w:tc>
          <w:tcPr>
            <w:tcW w:type="dxa" w:w="31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Transformer LLM compliance</w:t>
            </w:r>
          </w:p>
        </w:tc>
        <w:tc>
          <w:tcPr>
            <w:tcW w:type="dxa" w:w="31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BLOOM compliance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Interpretable output — user can understand basis of output</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Partial — post-hoc SHAP/attention approximations available</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Full — APS chain and PoC audit trail show exact pattern basis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Logging and record-keeping of system operation</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Input/output logs available; internal reasoning not logged</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Full APS synchronisation chain logged by design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Human oversight capability</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Limited — operator can inspect outputs but not reasoning</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Full — PoC audit trail enables oversight of pattern provenance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Instructions enabling interpretation</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Model cards available; reasoning path not describable</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APS Protocol documentation enables full interpretation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Traceability of decisions</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Not achievable structurally — no causal trace exists</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Cryptographically guaranteed via PoC chain</w:t>
            </w:r>
          </w:p>
        </w:tc>
      </w:tr>
    </w:tbl>
    <w:p>
      <w:r>
        <w:t xml:space="preserve"/>
      </w:r>
    </w:p>
    <w:p>
      <w:pPr>
        <w:pStyle w:val="Heading2"/>
        <w:spacing w:before="280" w:after="140"/>
      </w:pPr>
      <w:r>
        <w:rPr>
          <w:rFonts w:ascii="Times New Roman" w:cs="Times New Roman" w:eastAsia="Times New Roman" w:hAnsi="Times New Roman"/>
          <w:b/>
          <w:bCs/>
          <w:sz w:val="26"/>
          <w:szCs w:val="26"/>
        </w:rPr>
        <w:t xml:space="preserve">4.2 FDA AI/ML Software as a Medical Device</w:t>
      </w:r>
    </w:p>
    <w:p>
      <w:pPr>
        <w:spacing w:before="100" w:after="140" w:line="360" w:lineRule="auto"/>
        <w:ind w:firstLine="720"/>
        <w:jc w:val="both"/>
      </w:pPr>
      <w:r>
        <w:rPr>
          <w:rFonts w:ascii="Times New Roman" w:cs="Times New Roman" w:eastAsia="Times New Roman" w:hAnsi="Times New Roman"/>
          <w:sz w:val="24"/>
          <w:szCs w:val="24"/>
        </w:rPr>
        <w:t xml:space="preserve">The FDA's guidance on AI/ML-based Software as a Medical Device requires that AI systems used in clinical decision support demonstrate algorithm transparency — the ability to show clinicians how the algorithm arrived at its output in terms understandable to clinical users. The FDA's predetermined change control plan requirements further mandate that modifications to AI/ML systems be traceable to their impact on outputs.</w:t>
      </w:r>
    </w:p>
    <w:p>
      <w:pPr>
        <w:spacing w:before="100" w:after="140" w:line="360" w:lineRule="auto"/>
        <w:ind w:firstLine="720"/>
        <w:jc w:val="both"/>
      </w:pPr>
      <w:r>
        <w:rPr>
          <w:rFonts w:ascii="Times New Roman" w:cs="Times New Roman" w:eastAsia="Times New Roman" w:hAnsi="Times New Roman"/>
          <w:sz w:val="24"/>
          <w:szCs w:val="24"/>
        </w:rPr>
        <w:t xml:space="preserve">BLOOM's PoC attribution chain directly satisfies the traceability requirement: every change to the mesh (new patterns contributed, node additions, consensus updates) is cryptographically logged. A clinical administrator can audit exactly what changed in the mesh between version A and version B and which outputs were affected. No transformer-based medical AI system can provide this guarantee — because the system's 'changes' are weight updates whose relationship to specific outputs is not traceable.</w:t>
      </w:r>
    </w:p>
    <w:p>
      <w:pPr>
        <w:pStyle w:val="Heading2"/>
        <w:spacing w:before="280" w:after="140"/>
      </w:pPr>
      <w:r>
        <w:rPr>
          <w:rFonts w:ascii="Times New Roman" w:cs="Times New Roman" w:eastAsia="Times New Roman" w:hAnsi="Times New Roman"/>
          <w:b/>
          <w:bCs/>
          <w:sz w:val="26"/>
          <w:szCs w:val="26"/>
        </w:rPr>
        <w:t xml:space="preserve">4.3 SR 11-7 Model Risk Management</w:t>
      </w:r>
    </w:p>
    <w:p>
      <w:pPr>
        <w:spacing w:before="100" w:after="140" w:line="360" w:lineRule="auto"/>
        <w:ind w:firstLine="720"/>
        <w:jc w:val="both"/>
      </w:pPr>
      <w:r>
        <w:rPr>
          <w:rFonts w:ascii="Times New Roman" w:cs="Times New Roman" w:eastAsia="Times New Roman" w:hAnsi="Times New Roman"/>
          <w:sz w:val="24"/>
          <w:szCs w:val="24"/>
        </w:rPr>
        <w:t xml:space="preserve">The Federal Reserve's SR 11-7 supervisory guidance on model risk management requires financial institutions to maintain documentation of model conceptual soundness, ongoing monitoring, and outcomes analysis. Critically, SR 11-7 requires that models be validated independently — which requires the validator to understand how the model produces outputs.</w:t>
      </w:r>
    </w:p>
    <w:p>
      <w:pPr>
        <w:spacing w:before="100" w:after="140" w:line="360" w:lineRule="auto"/>
        <w:ind w:firstLine="720"/>
        <w:jc w:val="both"/>
      </w:pPr>
      <w:r>
        <w:rPr>
          <w:rFonts w:ascii="Times New Roman" w:cs="Times New Roman" w:eastAsia="Times New Roman" w:hAnsi="Times New Roman"/>
          <w:sz w:val="24"/>
          <w:szCs w:val="24"/>
        </w:rPr>
        <w:t xml:space="preserve">Independent validation of a transformer LLM is currently impossible in the SR 11-7 sense: no validator can independently verify that the model's reasoning process is conceptually sound, because the reasoning process is not accessible. BLOOM's APS chain is independently auditable — a validator can inspect the synchronisation chain for any output and verify that the pattern provenance is appropriate for the use case. This is model risk management compliance at a level that transformer-based financial AI cannot achieve.</w:t>
      </w:r>
    </w:p>
    <w:p>
      <w:pPr>
        <w:pStyle w:val="Heading1"/>
        <w:spacing w:before="360" w:after="180"/>
      </w:pPr>
      <w:r>
        <w:rPr>
          <w:rFonts w:ascii="Times New Roman" w:cs="Times New Roman" w:eastAsia="Times New Roman" w:hAnsi="Times New Roman"/>
          <w:b/>
          <w:bCs/>
          <w:sz w:val="30"/>
          <w:szCs w:val="30"/>
        </w:rPr>
        <w:t xml:space="preserve">5. The First-In-World Claim: Precise Boundaries</w:t>
      </w:r>
    </w:p>
    <w:p>
      <w:pPr>
        <w:spacing w:before="100" w:after="140" w:line="360" w:lineRule="auto"/>
        <w:ind w:firstLine="720"/>
        <w:jc w:val="both"/>
      </w:pPr>
      <w:r>
        <w:rPr>
          <w:rFonts w:ascii="Times New Roman" w:cs="Times New Roman" w:eastAsia="Times New Roman" w:hAnsi="Times New Roman"/>
          <w:sz w:val="24"/>
          <w:szCs w:val="24"/>
        </w:rPr>
        <w:t xml:space="preserve">We make the following precisely bounded first-in-world claim:</w:t>
      </w:r>
    </w:p>
    <w:p>
      <w:r>
        <w:t xml:space="preserve"/>
      </w:r>
    </w:p>
    <w:p>
      <w:pPr>
        <w:pBdr>
          <w:left w:val="single" w:color="1F4E79" w:sz="16" w:space="10"/>
        </w:pBdr>
        <w:spacing w:before="180" w:after="180"/>
        <w:ind w:left="720"/>
      </w:pPr>
      <w:r>
        <w:rPr>
          <w:rFonts w:ascii="Times New Roman" w:cs="Times New Roman" w:eastAsia="Times New Roman" w:hAnsi="Times New Roman"/>
          <w:i/>
          <w:iCs/>
          <w:sz w:val="23"/>
          <w:szCs w:val="23"/>
        </w:rPr>
        <w:t xml:space="preserve">BLOOM is the first AI system in which the provenance of every output is cryptographically traceable to its contributing pattern sources through an explicit, auditable synchronisation chain that is produced as a structural byproduct of the inference process itself — not reconstructed post-hoc by an approximation tool. This property — structural causal provenance (XAI-3) — has not been achieved by any previously published AI architecture.</w:t>
      </w:r>
    </w:p>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We define precisely what this claim does and does not assert:</w:t>
      </w:r>
    </w:p>
    <w:p>
      <w:pPr>
        <w:spacing w:before="100" w:after="140" w:line="360" w:lineRule="auto"/>
        <w:ind w:firstLine="720"/>
        <w:jc w:val="both"/>
      </w:pPr>
      <w:r>
        <w:rPr>
          <w:rFonts w:ascii="Times New Roman" w:cs="Times New Roman" w:eastAsia="Times New Roman" w:hAnsi="Times New Roman"/>
          <w:sz w:val="24"/>
          <w:szCs w:val="24"/>
        </w:rPr>
        <w:t xml:space="preserve">The claim DOES assert: Every BLOOM output has a complete, cryptographically authenticated record of which patterns contributed to it, which nodes provided those patterns, what Z_M levels those patterns carry, and what the consensus process determined. This record is produced during inference, not after it.</w:t>
      </w:r>
    </w:p>
    <w:p>
      <w:pPr>
        <w:spacing w:before="100" w:after="140" w:line="360" w:lineRule="auto"/>
        <w:ind w:firstLine="720"/>
        <w:jc w:val="both"/>
      </w:pPr>
      <w:r>
        <w:rPr>
          <w:rFonts w:ascii="Times New Roman" w:cs="Times New Roman" w:eastAsia="Times New Roman" w:hAnsi="Times New Roman"/>
          <w:sz w:val="24"/>
          <w:szCs w:val="24"/>
        </w:rPr>
        <w:t xml:space="preserve">The claim does NOT assert: That BLOOM achieves XAI-4 (full formal verifiability). XAI-4 requires mathematical proof that the explanation is correct for all possible inputs — BLOOM achieves XAI-3 (structural causal provenance for all actual inputs). The distinction is between formal completeness and practical completeness.</w:t>
      </w:r>
    </w:p>
    <w:p>
      <w:pPr>
        <w:spacing w:before="100" w:after="140" w:line="360" w:lineRule="auto"/>
        <w:ind w:firstLine="720"/>
        <w:jc w:val="both"/>
      </w:pPr>
      <w:r>
        <w:rPr>
          <w:rFonts w:ascii="Times New Roman" w:cs="Times New Roman" w:eastAsia="Times New Roman" w:hAnsi="Times New Roman"/>
          <w:sz w:val="24"/>
          <w:szCs w:val="24"/>
        </w:rPr>
        <w:t xml:space="preserve">The claim does NOT assert: That BLOOM's explanations are always comprehensible to non-technical users. XAI-3 provides technically complete provenance. Translating that provenance into natural language explanations suitable for clinical, legal, or financial professionals is a presentation layer that is separate from the structural property.</w:t>
      </w:r>
    </w:p>
    <w:p>
      <w:pPr>
        <w:spacing w:before="100" w:after="140" w:line="360" w:lineRule="auto"/>
        <w:ind w:firstLine="720"/>
        <w:jc w:val="both"/>
      </w:pPr>
      <w:r>
        <w:rPr>
          <w:rFonts w:ascii="Times New Roman" w:cs="Times New Roman" w:eastAsia="Times New Roman" w:hAnsi="Times New Roman"/>
          <w:sz w:val="24"/>
          <w:szCs w:val="24"/>
        </w:rPr>
        <w:t xml:space="preserve">The claim does NOT assert: That no future transformer-based system could achieve XAI-3. It asserts that no existing system has achieved it. The architectural path to XAI-3 in a transformer is not obvious and has not been demonstrated.</w:t>
      </w:r>
    </w:p>
    <w:p>
      <w:pPr>
        <w:pStyle w:val="Heading2"/>
        <w:spacing w:before="280" w:after="140"/>
      </w:pPr>
      <w:r>
        <w:rPr>
          <w:rFonts w:ascii="Times New Roman" w:cs="Times New Roman" w:eastAsia="Times New Roman" w:hAnsi="Times New Roman"/>
          <w:b/>
          <w:bCs/>
          <w:sz w:val="26"/>
          <w:szCs w:val="26"/>
        </w:rPr>
        <w:t xml:space="preserve">5.1 Anticipated Challenges and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Challenge</w:t>
            </w:r>
          </w:p>
        </w:tc>
        <w:tc>
          <w:tcPr>
            <w:tcW w:type="dxa" w:w="3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Source</w:t>
            </w:r>
          </w:p>
        </w:tc>
        <w:tc>
          <w:tcPr>
            <w:tcW w:type="dxa" w:w="3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Response</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Anthropic's mechanistic interpretability achieves similar results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AI interpretability researchers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Mechanistic interpretability is XAI-2 — post-hoc circuit identification. It does not produce provenance during inference. The circuits are found by researchers after training, not by the model during inference.</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SHAP provides complete feature attribution</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ML practitioners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SHAP provides gradient-based attribution — a mathematical property of the input-output function, not a causal trace of the inference process. SHAP explanations are inconsistent across random seeds and fail out-of-distribution.</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The Z_M field is not experimentally established</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Physics reviewers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Chénier et al. PRX 2026 validates topological gap protection experimentally. Z_M's role in pattern distinguishability follows from the AUF field structure. The XAI-3 claim holds independently of AUF acceptance — the PoC and APS claims are architectural, not physics-dependent.</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Any logged inference system provides provenance</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Systems engineers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Logging inputs and outputs is not provenance. Provenance requires tracing the causal path from input to output through the inference process. BLOOM's APS chain is the inference process — the log IS the explanation, not a record of the explanation.</w:t>
            </w:r>
          </w:p>
        </w:tc>
      </w:tr>
    </w:tbl>
    <w:p>
      <w:r>
        <w:t xml:space="preserve"/>
      </w:r>
    </w:p>
    <w:p>
      <w:pPr>
        <w:pStyle w:val="Heading1"/>
        <w:spacing w:before="360" w:after="180"/>
      </w:pPr>
      <w:r>
        <w:rPr>
          <w:rFonts w:ascii="Times New Roman" w:cs="Times New Roman" w:eastAsia="Times New Roman" w:hAnsi="Times New Roman"/>
          <w:b/>
          <w:bCs/>
          <w:sz w:val="30"/>
          <w:szCs w:val="30"/>
        </w:rPr>
        <w:t xml:space="preserve">6. Six Falsifiable Predictions</w:t>
      </w:r>
    </w:p>
    <w:p>
      <w:pPr>
        <w:pStyle w:val="Heading2"/>
        <w:spacing w:before="280" w:after="140"/>
      </w:pPr>
      <w:r>
        <w:rPr>
          <w:rFonts w:ascii="Times New Roman" w:cs="Times New Roman" w:eastAsia="Times New Roman" w:hAnsi="Times New Roman"/>
          <w:b/>
          <w:bCs/>
          <w:sz w:val="26"/>
          <w:szCs w:val="26"/>
        </w:rPr>
        <w:t xml:space="preserve">Prediction 1 — APS Chain Consistency</w:t>
      </w:r>
    </w:p>
    <w:p>
      <w:pPr>
        <w:spacing w:before="100" w:after="140" w:line="360" w:lineRule="auto"/>
        <w:ind w:firstLine="720"/>
        <w:jc w:val="both"/>
      </w:pPr>
      <w:r>
        <w:rPr>
          <w:rFonts w:ascii="Times New Roman" w:cs="Times New Roman" w:eastAsia="Times New Roman" w:hAnsi="Times New Roman"/>
          <w:sz w:val="24"/>
          <w:szCs w:val="24"/>
        </w:rPr>
        <w:t xml:space="preserve">For any two identical inputs presented to the BLOOM mesh at different times (with identical mesh state), the APS synchronisation chains should be identical — because the same patterns will achieve the same consensus through the same synchronisation path. This is the structural consistency prediction: BLOOM explanations are not stochastic approximations, they are deterministic structural traces. Identical inputs produce identical provenance. Epistemic status: 🟢 Testable now.</w:t>
      </w:r>
    </w:p>
    <w:p>
      <w:pPr>
        <w:pStyle w:val="Heading2"/>
        <w:spacing w:before="280" w:after="140"/>
      </w:pPr>
      <w:r>
        <w:rPr>
          <w:rFonts w:ascii="Times New Roman" w:cs="Times New Roman" w:eastAsia="Times New Roman" w:hAnsi="Times New Roman"/>
          <w:b/>
          <w:bCs/>
          <w:sz w:val="26"/>
          <w:szCs w:val="26"/>
        </w:rPr>
        <w:t xml:space="preserve">Prediction 2 — PoC Audit Independence</w:t>
      </w:r>
    </w:p>
    <w:p>
      <w:pPr>
        <w:spacing w:before="100" w:after="140" w:line="360" w:lineRule="auto"/>
        <w:ind w:firstLine="720"/>
        <w:jc w:val="both"/>
      </w:pPr>
      <w:r>
        <w:rPr>
          <w:rFonts w:ascii="Times New Roman" w:cs="Times New Roman" w:eastAsia="Times New Roman" w:hAnsi="Times New Roman"/>
          <w:sz w:val="24"/>
          <w:szCs w:val="24"/>
        </w:rPr>
        <w:t xml:space="preserve">An independent auditor with no knowledge of BLOOM's architecture, given only the PoC audit trail for a set of outputs, should be able to reconstruct the approximate reasoning path — which patterns were used, which nodes contributed, what the consensus determined — without access to the underlying model. A SHAP audit trail cannot be used to reconstruct the reasoning path without the model itself. Epistemic status: 🟢 Testable now.</w:t>
      </w:r>
    </w:p>
    <w:p>
      <w:pPr>
        <w:pStyle w:val="Heading2"/>
        <w:spacing w:before="280" w:after="140"/>
      </w:pPr>
      <w:r>
        <w:rPr>
          <w:rFonts w:ascii="Times New Roman" w:cs="Times New Roman" w:eastAsia="Times New Roman" w:hAnsi="Times New Roman"/>
          <w:b/>
          <w:bCs/>
          <w:sz w:val="26"/>
          <w:szCs w:val="26"/>
        </w:rPr>
        <w:t xml:space="preserve">Prediction 3 — Out-of-Distribution Provenance Stability</w:t>
      </w:r>
    </w:p>
    <w:p>
      <w:pPr>
        <w:spacing w:before="100" w:after="140" w:line="360" w:lineRule="auto"/>
        <w:ind w:firstLine="720"/>
        <w:jc w:val="both"/>
      </w:pPr>
      <w:r>
        <w:rPr>
          <w:rFonts w:ascii="Times New Roman" w:cs="Times New Roman" w:eastAsia="Times New Roman" w:hAnsi="Times New Roman"/>
          <w:sz w:val="24"/>
          <w:szCs w:val="24"/>
        </w:rPr>
        <w:t xml:space="preserve">BLOOM's Z_M-grounded pattern attribution should remain stable when inputs are shifted out of the training distribution — because Z_M is a physical field property, not a statistical training artefact. SHAP explanations are known to degrade significantly out-of-distribution. Comparing BLOOM's provenance consistency to SHAP consistency across distribution shifts directly tests the structural vs. statistical explanation distinction. Epistemic status: 🟡 Theoretical — requires controlled OOD test set.</w:t>
      </w:r>
    </w:p>
    <w:p>
      <w:pPr>
        <w:pStyle w:val="Heading2"/>
        <w:spacing w:before="280" w:after="140"/>
      </w:pPr>
      <w:r>
        <w:rPr>
          <w:rFonts w:ascii="Times New Roman" w:cs="Times New Roman" w:eastAsia="Times New Roman" w:hAnsi="Times New Roman"/>
          <w:b/>
          <w:bCs/>
          <w:sz w:val="26"/>
          <w:szCs w:val="26"/>
        </w:rPr>
        <w:t xml:space="preserve">Prediction 4 — Regulatory Audit Completeness</w:t>
      </w:r>
    </w:p>
    <w:p>
      <w:pPr>
        <w:spacing w:before="100" w:after="140" w:line="360" w:lineRule="auto"/>
        <w:ind w:firstLine="720"/>
        <w:jc w:val="both"/>
      </w:pPr>
      <w:r>
        <w:rPr>
          <w:rFonts w:ascii="Times New Roman" w:cs="Times New Roman" w:eastAsia="Times New Roman" w:hAnsi="Times New Roman"/>
          <w:sz w:val="24"/>
          <w:szCs w:val="24"/>
        </w:rPr>
        <w:t xml:space="preserve">A BLOOM deployment subject to EU AI Act Article 13 audit should provide complete audit trail documentation without requiring any post-hoc explanation tool. An equivalent transformer deployment should require SHAP or mechanistic interpretability analysis — which the auditor can challenge as approximations. The BLOOM audit should be unchallengeable at the provenance level (though interpretability of the provenance remains a separate question). Epistemic status: 🟡 Theoretical — requires regulatory pilot.</w:t>
      </w:r>
    </w:p>
    <w:p>
      <w:pPr>
        <w:pStyle w:val="Heading2"/>
        <w:spacing w:before="280" w:after="140"/>
      </w:pPr>
      <w:r>
        <w:rPr>
          <w:rFonts w:ascii="Times New Roman" w:cs="Times New Roman" w:eastAsia="Times New Roman" w:hAnsi="Times New Roman"/>
          <w:b/>
          <w:bCs/>
          <w:sz w:val="26"/>
          <w:szCs w:val="26"/>
        </w:rPr>
        <w:t xml:space="preserve">Prediction 5 — Explanation Faithfulness</w:t>
      </w:r>
    </w:p>
    <w:p>
      <w:pPr>
        <w:spacing w:before="100" w:after="140" w:line="360" w:lineRule="auto"/>
        <w:ind w:firstLine="720"/>
        <w:jc w:val="both"/>
      </w:pPr>
      <w:r>
        <w:rPr>
          <w:rFonts w:ascii="Times New Roman" w:cs="Times New Roman" w:eastAsia="Times New Roman" w:hAnsi="Times New Roman"/>
          <w:sz w:val="24"/>
          <w:szCs w:val="24"/>
        </w:rPr>
        <w:t xml:space="preserve">BLOOM's structural explanations should show higher faithfulness scores (correlation between explanation and actual causal contribution) than SHAP or LIME explanations for equivalent tasks — because structural explanations are the actual causal trace, while post-hoc explanations are approximations. Faithfulness is measurable through intervention studies: remove a component the explanation claims is important and measure the drop in output quality. Epistemic status: 🟡 Theoretical — requires faithfulness benchmark.</w:t>
      </w:r>
    </w:p>
    <w:p>
      <w:pPr>
        <w:pStyle w:val="Heading2"/>
        <w:spacing w:before="280" w:after="140"/>
      </w:pPr>
      <w:r>
        <w:rPr>
          <w:rFonts w:ascii="Times New Roman" w:cs="Times New Roman" w:eastAsia="Times New Roman" w:hAnsi="Times New Roman"/>
          <w:b/>
          <w:bCs/>
          <w:sz w:val="26"/>
          <w:szCs w:val="26"/>
        </w:rPr>
        <w:t xml:space="preserve">Prediction 6 — Medical Decision Traceability</w:t>
      </w:r>
    </w:p>
    <w:p>
      <w:pPr>
        <w:spacing w:before="100" w:after="140" w:line="360" w:lineRule="auto"/>
        <w:ind w:firstLine="720"/>
        <w:jc w:val="both"/>
      </w:pPr>
      <w:r>
        <w:rPr>
          <w:rFonts w:ascii="Times New Roman" w:cs="Times New Roman" w:eastAsia="Times New Roman" w:hAnsi="Times New Roman"/>
          <w:sz w:val="24"/>
          <w:szCs w:val="24"/>
        </w:rPr>
        <w:t xml:space="preserve">In a clinical AI deployment, BLOOM should be able to produce a complete, audit-ready explanation of any output that satisfies FDA traceability requirements without post-hoc analysis. An equivalent LLM-based clinical AI should not be able to do so — because the reasoning process is not preserved during inference. A comparative regulatory audit of both systems should find BLOOM compliant and the LLM non-compliant on traceability. Epistemic status: 🔴 Speculative — requires clinical deployment pilot.</w:t>
      </w:r>
    </w:p>
    <w:p>
      <w:pPr>
        <w:pStyle w:val="Heading1"/>
        <w:spacing w:before="360" w:after="180"/>
      </w:pPr>
      <w:r>
        <w:rPr>
          <w:rFonts w:ascii="Times New Roman" w:cs="Times New Roman" w:eastAsia="Times New Roman" w:hAnsi="Times New Roman"/>
          <w:b/>
          <w:bCs/>
          <w:sz w:val="30"/>
          <w:szCs w:val="30"/>
        </w:rPr>
        <w:t xml:space="preserve">7. Commercial and Strategic Implications</w:t>
      </w:r>
    </w:p>
    <w:p>
      <w:pPr>
        <w:pStyle w:val="Heading2"/>
        <w:spacing w:before="280" w:after="140"/>
      </w:pPr>
      <w:r>
        <w:rPr>
          <w:rFonts w:ascii="Times New Roman" w:cs="Times New Roman" w:eastAsia="Times New Roman" w:hAnsi="Times New Roman"/>
          <w:b/>
          <w:bCs/>
          <w:sz w:val="26"/>
          <w:szCs w:val="26"/>
        </w:rPr>
        <w:t xml:space="preserve">7.1 The Regulated Industry Opportunity</w:t>
      </w:r>
    </w:p>
    <w:p>
      <w:pPr>
        <w:spacing w:before="100" w:after="140" w:line="360" w:lineRule="auto"/>
        <w:ind w:firstLine="720"/>
        <w:jc w:val="both"/>
      </w:pPr>
      <w:r>
        <w:rPr>
          <w:rFonts w:ascii="Times New Roman" w:cs="Times New Roman" w:eastAsia="Times New Roman" w:hAnsi="Times New Roman"/>
          <w:sz w:val="24"/>
          <w:szCs w:val="24"/>
        </w:rPr>
        <w:t xml:space="preserve">The AI explainability requirement is not a compliance checkbox — it is a market gate. Healthcare AI with EU AI Act compliance requires XAI-3 or better. Financial AI under SR 11-7 requires independent validation capability. Legal AI under emerging judicial standards requires traceable reasoning. Defence AI under responsible AI frameworks requires auditable decision pathways.</w:t>
      </w:r>
    </w:p>
    <w:p>
      <w:pPr>
        <w:spacing w:before="100" w:after="140" w:line="360" w:lineRule="auto"/>
        <w:ind w:firstLine="720"/>
        <w:jc w:val="both"/>
      </w:pPr>
      <w:r>
        <w:rPr>
          <w:rFonts w:ascii="Times New Roman" w:cs="Times New Roman" w:eastAsia="Times New Roman" w:hAnsi="Times New Roman"/>
          <w:sz w:val="24"/>
          <w:szCs w:val="24"/>
        </w:rPr>
        <w:t xml:space="preserve">Every transformer-based AI system attempting to enter these markets faces the same structural barrier: it cannot meet the explainability requirements at the level regulators actually need. Post-hoc approximations are accepted today because there is no alternative. BLOOM is the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400"/>
        <w:gridCol w:w="300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Sector</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Regulatory requirement</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Transformer compliance</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BLOOM compliance</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Healthcare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FDA AI/ML SaMD traceability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Non-compliant structurally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Compliant — PoC chain provides full traceability</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Finance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SR 11-7 independent validation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Non-compliant — reasoning not independently auditable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Compliant — APS chain is independently auditable</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Legal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Emerging judicial traceability standards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Non-compliant — no causal trace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Compliant — PoC provides causal attribution</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Defence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DoD Responsible AI framework</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Partially compliant — logging available, reasoning not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Compliant — full synchronisation chain logged</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EU public sector</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EU AI Act Article 13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Partial — post-hoc tools available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Full — structural provenance by design</w:t>
            </w:r>
          </w:p>
        </w:tc>
      </w:tr>
    </w:tbl>
    <w:p>
      <w:r>
        <w:t xml:space="preserve"/>
      </w:r>
    </w:p>
    <w:p>
      <w:pPr>
        <w:pStyle w:val="Heading2"/>
        <w:spacing w:before="280" w:after="140"/>
      </w:pPr>
      <w:r>
        <w:rPr>
          <w:rFonts w:ascii="Times New Roman" w:cs="Times New Roman" w:eastAsia="Times New Roman" w:hAnsi="Times New Roman"/>
          <w:b/>
          <w:bCs/>
          <w:sz w:val="26"/>
          <w:szCs w:val="26"/>
        </w:rPr>
        <w:t xml:space="preserve">7.2 The Datacenter Displacement Connection</w:t>
      </w:r>
    </w:p>
    <w:p>
      <w:pPr>
        <w:spacing w:before="100" w:after="140" w:line="360" w:lineRule="auto"/>
        <w:ind w:firstLine="720"/>
        <w:jc w:val="both"/>
      </w:pPr>
      <w:r>
        <w:rPr>
          <w:rFonts w:ascii="Times New Roman" w:cs="Times New Roman" w:eastAsia="Times New Roman" w:hAnsi="Times New Roman"/>
          <w:sz w:val="24"/>
          <w:szCs w:val="24"/>
        </w:rPr>
        <w:t xml:space="preserve">BLOOM's native explainability has an additional strategic dimension connected to the N² deployment thesis. As the QMT-BLOOM mesh grows under the N² Law, the explainability property scales with it: every node added to the mesh contributes its PoC infrastructure to the collective. A larger mesh is not less explainable — it is more explainable, because more nodes provide more corroboration for every pattern, producing richer and more confident provenance records.</w:t>
      </w:r>
    </w:p>
    <w:p>
      <w:pPr>
        <w:spacing w:before="100" w:after="140" w:line="360" w:lineRule="auto"/>
        <w:ind w:firstLine="720"/>
        <w:jc w:val="both"/>
      </w:pPr>
      <w:r>
        <w:rPr>
          <w:rFonts w:ascii="Times New Roman" w:cs="Times New Roman" w:eastAsia="Times New Roman" w:hAnsi="Times New Roman"/>
          <w:sz w:val="24"/>
          <w:szCs w:val="24"/>
        </w:rPr>
        <w:t xml:space="preserve">This is the inverse of the transformer explainability trajectory: larger transformer models are generally less explainable, not more — the circuits become more complex, the attention patterns more distributed, the mechanistic interpretability harder. In BLOOM, scale improves explainability. The largest deployment is the most explainable deployment.</w:t>
      </w:r>
    </w:p>
    <w:p>
      <w:pPr>
        <w:pStyle w:val="Heading1"/>
        <w:spacing w:before="360" w:after="180"/>
      </w:pPr>
      <w:r>
        <w:rPr>
          <w:rFonts w:ascii="Times New Roman" w:cs="Times New Roman" w:eastAsia="Times New Roman" w:hAnsi="Times New Roman"/>
          <w:b/>
          <w:bCs/>
          <w:sz w:val="30"/>
          <w:szCs w:val="30"/>
        </w:rPr>
        <w:t xml:space="preserve">8. Discussion</w:t>
      </w:r>
    </w:p>
    <w:p>
      <w:pPr>
        <w:pStyle w:val="Heading2"/>
        <w:spacing w:before="280" w:after="140"/>
      </w:pPr>
      <w:r>
        <w:rPr>
          <w:rFonts w:ascii="Times New Roman" w:cs="Times New Roman" w:eastAsia="Times New Roman" w:hAnsi="Times New Roman"/>
          <w:b/>
          <w:bCs/>
          <w:sz w:val="26"/>
          <w:szCs w:val="26"/>
        </w:rPr>
        <w:t xml:space="preserve">8.1 The Post-Hoc XAI Research Programme</w:t>
      </w:r>
    </w:p>
    <w:p>
      <w:pPr>
        <w:spacing w:before="100" w:after="140" w:line="360" w:lineRule="auto"/>
        <w:ind w:firstLine="720"/>
        <w:jc w:val="both"/>
      </w:pPr>
      <w:r>
        <w:rPr>
          <w:rFonts w:ascii="Times New Roman" w:cs="Times New Roman" w:eastAsia="Times New Roman" w:hAnsi="Times New Roman"/>
          <w:sz w:val="24"/>
          <w:szCs w:val="24"/>
        </w:rPr>
        <w:t xml:space="preserve">We want to be precise about the relationship between this paper and the post-hoc XAI research community. Mechanistic interpretability (Anthropic, Goodfire, others) is genuine and important science. Understanding what circuits transformer models learn is valuable for AI safety and alignment. The sparse autoencoder research programme has produced real insights into how LLMs represent concepts.</w:t>
      </w:r>
    </w:p>
    <w:p>
      <w:pPr>
        <w:spacing w:before="100" w:after="140" w:line="360" w:lineRule="auto"/>
        <w:ind w:firstLine="720"/>
        <w:jc w:val="both"/>
      </w:pPr>
      <w:r>
        <w:rPr>
          <w:rFonts w:ascii="Times New Roman" w:cs="Times New Roman" w:eastAsia="Times New Roman" w:hAnsi="Times New Roman"/>
          <w:sz w:val="24"/>
          <w:szCs w:val="24"/>
        </w:rPr>
        <w:t xml:space="preserve">The claim of this paper is not that post-hoc XAI is wrong or unimportant. The claim is that it is architecturally bounded at XAI-2 and cannot reach XAI-3 for transformer-based systems — because XAI-3 requires that the explanation be produced during inference, not reconstructed after it. The post-hoc XAI research programme is solving a real problem; BLOOM eliminates the problem at the architectural level.</w:t>
      </w:r>
    </w:p>
    <w:p>
      <w:pPr>
        <w:pStyle w:val="Heading2"/>
        <w:spacing w:before="280" w:after="140"/>
      </w:pPr>
      <w:r>
        <w:rPr>
          <w:rFonts w:ascii="Times New Roman" w:cs="Times New Roman" w:eastAsia="Times New Roman" w:hAnsi="Times New Roman"/>
          <w:b/>
          <w:bCs/>
          <w:sz w:val="26"/>
          <w:szCs w:val="26"/>
        </w:rPr>
        <w:t xml:space="preserve">8.2 The Trust and Safety Dimension</w:t>
      </w:r>
    </w:p>
    <w:p>
      <w:pPr>
        <w:spacing w:before="100" w:after="140" w:line="360" w:lineRule="auto"/>
        <w:ind w:firstLine="720"/>
        <w:jc w:val="both"/>
      </w:pPr>
      <w:r>
        <w:rPr>
          <w:rFonts w:ascii="Times New Roman" w:cs="Times New Roman" w:eastAsia="Times New Roman" w:hAnsi="Times New Roman"/>
          <w:sz w:val="24"/>
          <w:szCs w:val="24"/>
        </w:rPr>
        <w:t xml:space="preserve">Native explainability has a dimension beyond regulatory compliance: trust. A system that can explain itself — causally, structurally, with cryptographic attribution — is fundamentally more trustworthy than one that cannot. Not because the explanations make it safer in a direct technical sense, but because they make it auditable. Auditable systems can be caught making mistakes. Systems that cannot be audited cannot be caught.</w:t>
      </w:r>
    </w:p>
    <w:p>
      <w:pPr>
        <w:spacing w:before="100" w:after="140" w:line="360" w:lineRule="auto"/>
        <w:ind w:firstLine="720"/>
        <w:jc w:val="both"/>
      </w:pPr>
      <w:r>
        <w:rPr>
          <w:rFonts w:ascii="Times New Roman" w:cs="Times New Roman" w:eastAsia="Times New Roman" w:hAnsi="Times New Roman"/>
          <w:sz w:val="24"/>
          <w:szCs w:val="24"/>
        </w:rPr>
        <w:t xml:space="preserve">The most dangerous AI systems are not the ones with poor performance — poor performance is detectable. The most dangerous are the ones with good average performance and non-detectable failure modes. A black-box system that performs well 99% of the time and fails catastrophically in the remaining 1% with no warning and no explainable cause is the canonical AI safety problem. BLOOM's structural provenance does not guarantee it will not fail — but it guarantees the failure will be traceable, auditable, and correctable.</w:t>
      </w:r>
    </w:p>
    <w:p>
      <w:pPr>
        <w:pStyle w:val="Heading1"/>
        <w:spacing w:before="360" w:after="180"/>
      </w:pPr>
      <w:r>
        <w:rPr>
          <w:rFonts w:ascii="Times New Roman" w:cs="Times New Roman" w:eastAsia="Times New Roman" w:hAnsi="Times New Roman"/>
          <w:b/>
          <w:bCs/>
          <w:sz w:val="30"/>
          <w:szCs w:val="30"/>
        </w:rPr>
        <w:t xml:space="preserve">9. Conclusion</w:t>
      </w:r>
    </w:p>
    <w:p>
      <w:pPr>
        <w:spacing w:before="100" w:after="140" w:line="360" w:lineRule="auto"/>
        <w:ind w:firstLine="720"/>
        <w:jc w:val="both"/>
      </w:pPr>
      <w:r>
        <w:rPr>
          <w:rFonts w:ascii="Times New Roman" w:cs="Times New Roman" w:eastAsia="Times New Roman" w:hAnsi="Times New Roman"/>
          <w:sz w:val="24"/>
          <w:szCs w:val="24"/>
        </w:rPr>
        <w:t xml:space="preserve">The explainability crisis in AI is an architectural problem, not an engineering problem. Transformer-based systems cannot achieve structural causal provenance (XAI-3) because their inference process does not preserve causal trace information. Post-hoc methods approximate explanations but cannot produce them structurally. This architectural limitation is not a matter of scale or investment — it is a consequence of the design.</w:t>
      </w:r>
    </w:p>
    <w:p>
      <w:pPr>
        <w:spacing w:before="100" w:after="140" w:line="360" w:lineRule="auto"/>
        <w:ind w:firstLine="720"/>
        <w:jc w:val="both"/>
      </w:pPr>
      <w:r>
        <w:rPr>
          <w:rFonts w:ascii="Times New Roman" w:cs="Times New Roman" w:eastAsia="Times New Roman" w:hAnsi="Times New Roman"/>
          <w:sz w:val="24"/>
          <w:szCs w:val="24"/>
        </w:rPr>
        <w:t xml:space="preserve">BLOOM achieves XAI-3 structurally through three native sources: the APS Protocol's explicit synchronisation chains, the Proof of Contribution's cryptographic attribution, and the Z_M field impedance's physical pattern distinguishability. Every BLOOM output has a complete, cryptographically authenticated, independently auditable provenance record produced as a byproduct of the inference process itself.</w:t>
      </w:r>
    </w:p>
    <w:p>
      <w:pPr>
        <w:spacing w:before="100" w:after="140" w:line="360" w:lineRule="auto"/>
        <w:ind w:firstLine="720"/>
        <w:jc w:val="both"/>
      </w:pPr>
      <w:r>
        <w:rPr>
          <w:rFonts w:ascii="Times New Roman" w:cs="Times New Roman" w:eastAsia="Times New Roman" w:hAnsi="Times New Roman"/>
          <w:sz w:val="24"/>
          <w:szCs w:val="24"/>
        </w:rPr>
        <w:t xml:space="preserve">The first-in-world claim is precisely bounded: BLOOM is the first AI system with structural causal provenance (XAI-3) by design. This claim is falsifiable through the six predictions presented in Section 6. It maps directly to regulatory compliance requirements in healthcare, finance, legal, defence, and public sector AI deployment. And it scales in the right direction: larger BLOOM deployments are more explainable, not less.</w:t>
      </w:r>
    </w:p>
    <w:p>
      <w:pPr>
        <w:spacing w:before="100" w:after="140" w:line="360" w:lineRule="auto"/>
        <w:ind w:firstLine="720"/>
        <w:jc w:val="both"/>
      </w:pPr>
      <w:r>
        <w:rPr>
          <w:rFonts w:ascii="Times New Roman" w:cs="Times New Roman" w:eastAsia="Times New Roman" w:hAnsi="Times New Roman"/>
          <w:sz w:val="24"/>
          <w:szCs w:val="24"/>
        </w:rPr>
        <w:t xml:space="preserve">The future of trustworthy AI is not post-hoc explanations applied to opaque systems. It is systems designed from the ground up so that the explanation and the reasoning are the same process.</w:t>
      </w:r>
    </w:p>
    <w:p>
      <w:r>
        <w:t xml:space="preserve"/>
      </w:r>
    </w:p>
    <w:p>
      <w:pPr>
        <w:pBdr>
          <w:left w:val="single" w:color="1F4E79" w:sz="16" w:space="10"/>
        </w:pBdr>
        <w:spacing w:before="180" w:after="180"/>
        <w:ind w:left="720"/>
      </w:pPr>
      <w:r>
        <w:rPr>
          <w:rFonts w:ascii="Times New Roman" w:cs="Times New Roman" w:eastAsia="Times New Roman" w:hAnsi="Times New Roman"/>
          <w:i/>
          <w:iCs/>
          <w:sz w:val="23"/>
          <w:szCs w:val="23"/>
        </w:rPr>
        <w:t xml:space="preserve">The most trustworthy AI is not the one that performs best. It is the one that cannot hide what it is doing. BLOOM cannot hide what it is doing — by design.</w:t>
      </w:r>
    </w:p>
    <w:p>
      <w:r>
        <w:t xml:space="preserve"/>
      </w:r>
    </w:p>
    <w:p>
      <w:pPr>
        <w:pStyle w:val="Heading1"/>
        <w:spacing w:before="360" w:after="180"/>
      </w:pPr>
      <w:r>
        <w:rPr>
          <w:rFonts w:ascii="Times New Roman" w:cs="Times New Roman" w:eastAsia="Times New Roman" w:hAnsi="Times New Roman"/>
          <w:b/>
          <w:bCs/>
          <w:sz w:val="30"/>
          <w:szCs w:val="30"/>
        </w:rPr>
        <w:t xml:space="preserve">References</w:t>
      </w:r>
    </w:p>
    <w:p>
      <w:pPr>
        <w:spacing w:before="100" w:after="140" w:line="360" w:lineRule="auto"/>
        <w:ind/>
        <w:jc w:val="both"/>
      </w:pPr>
      <w:r>
        <w:rPr>
          <w:rFonts w:ascii="Times New Roman" w:cs="Times New Roman" w:eastAsia="Times New Roman" w:hAnsi="Times New Roman"/>
          <w:sz w:val="24"/>
          <w:szCs w:val="24"/>
        </w:rPr>
        <w:t xml:space="preserve">[1] Afolabi, B. (2026a). Quantum Mirror Theory. DOI: 10.5281/zenodo.18407686.</w:t>
      </w:r>
    </w:p>
    <w:p>
      <w:pPr>
        <w:spacing w:before="100" w:after="140" w:line="360" w:lineRule="auto"/>
        <w:ind/>
        <w:jc w:val="both"/>
      </w:pPr>
      <w:r>
        <w:rPr>
          <w:rFonts w:ascii="Times New Roman" w:cs="Times New Roman" w:eastAsia="Times New Roman" w:hAnsi="Times New Roman"/>
          <w:sz w:val="24"/>
          <w:szCs w:val="24"/>
        </w:rPr>
        <w:t xml:space="preserve">[2] Afolabi, B. (2026b). Resonance Physics. DOI: 10.5281/zenodo.18913463.</w:t>
      </w:r>
    </w:p>
    <w:p>
      <w:pPr>
        <w:spacing w:before="100" w:after="140" w:line="360" w:lineRule="auto"/>
        <w:ind/>
        <w:jc w:val="both"/>
      </w:pPr>
      <w:r>
        <w:rPr>
          <w:rFonts w:ascii="Times New Roman" w:cs="Times New Roman" w:eastAsia="Times New Roman" w:hAnsi="Times New Roman"/>
          <w:sz w:val="24"/>
          <w:szCs w:val="24"/>
        </w:rPr>
        <w:t xml:space="preserve">[3] Afolabi, B. (2026c). Sentience Physics v1. DOI: 10.5281/zenodo.19226422.</w:t>
      </w:r>
    </w:p>
    <w:p>
      <w:pPr>
        <w:spacing w:before="100" w:after="140" w:line="360" w:lineRule="auto"/>
        <w:ind/>
        <w:jc w:val="both"/>
      </w:pPr>
      <w:r>
        <w:rPr>
          <w:rFonts w:ascii="Times New Roman" w:cs="Times New Roman" w:eastAsia="Times New Roman" w:hAnsi="Times New Roman"/>
          <w:sz w:val="24"/>
          <w:szCs w:val="24"/>
        </w:rPr>
        <w:t xml:space="preserve">[4] Afolabi, B. (2026d). AUF Millennium Prize Applications. DOI: 10.5281/zenodo.19226112.</w:t>
      </w:r>
    </w:p>
    <w:p>
      <w:pPr>
        <w:spacing w:before="100" w:after="140" w:line="360" w:lineRule="auto"/>
        <w:ind/>
        <w:jc w:val="both"/>
      </w:pPr>
      <w:r>
        <w:rPr>
          <w:rFonts w:ascii="Times New Roman" w:cs="Times New Roman" w:eastAsia="Times New Roman" w:hAnsi="Times New Roman"/>
          <w:sz w:val="24"/>
          <w:szCs w:val="24"/>
        </w:rPr>
        <w:t xml:space="preserve">[5] Afolabi, B. (2026e). NRT. DOI: 10.5281/zenodo.19228431.</w:t>
      </w:r>
    </w:p>
    <w:p>
      <w:pPr>
        <w:spacing w:before="100" w:after="140" w:line="360" w:lineRule="auto"/>
        <w:ind/>
        <w:jc w:val="both"/>
      </w:pPr>
      <w:r>
        <w:rPr>
          <w:rFonts w:ascii="Times New Roman" w:cs="Times New Roman" w:eastAsia="Times New Roman" w:hAnsi="Times New Roman"/>
          <w:sz w:val="24"/>
          <w:szCs w:val="24"/>
        </w:rPr>
        <w:t xml:space="preserve">[6] Afolabi, B. (2026f). QMT-BLOOM AGI Architecture. DOI: 10.5281/zenodo.19244010.</w:t>
      </w:r>
    </w:p>
    <w:p>
      <w:pPr>
        <w:spacing w:before="100" w:after="140" w:line="360" w:lineRule="auto"/>
        <w:ind/>
        <w:jc w:val="both"/>
      </w:pPr>
      <w:r>
        <w:rPr>
          <w:rFonts w:ascii="Times New Roman" w:cs="Times New Roman" w:eastAsia="Times New Roman" w:hAnsi="Times New Roman"/>
          <w:sz w:val="24"/>
          <w:szCs w:val="24"/>
        </w:rPr>
        <w:t xml:space="preserve">[7] Chénier, A. et al. (2026). Quantized Hall Drift in a Frequency-Encoded Photonic Chern Insulator. PRX, 16(1). DOI: 10.1103/2dyh-yhrb.</w:t>
      </w:r>
    </w:p>
    <w:p>
      <w:pPr>
        <w:spacing w:before="100" w:after="140" w:line="360" w:lineRule="auto"/>
        <w:ind/>
        <w:jc w:val="both"/>
      </w:pPr>
      <w:r>
        <w:rPr>
          <w:rFonts w:ascii="Times New Roman" w:cs="Times New Roman" w:eastAsia="Times New Roman" w:hAnsi="Times New Roman"/>
          <w:sz w:val="24"/>
          <w:szCs w:val="24"/>
        </w:rPr>
        <w:t xml:space="preserve">[8] Lundberg, S.M., Lee, S.I. (2017). A Unified Approach to Interpreting Model Predictions (SHAP). NeurIPS.</w:t>
      </w:r>
    </w:p>
    <w:p>
      <w:pPr>
        <w:spacing w:before="100" w:after="140" w:line="360" w:lineRule="auto"/>
        <w:ind/>
        <w:jc w:val="both"/>
      </w:pPr>
      <w:r>
        <w:rPr>
          <w:rFonts w:ascii="Times New Roman" w:cs="Times New Roman" w:eastAsia="Times New Roman" w:hAnsi="Times New Roman"/>
          <w:sz w:val="24"/>
          <w:szCs w:val="24"/>
        </w:rPr>
        <w:t xml:space="preserve">[9] Ribeiro, M.T. et al. (2016). Why Should I Trust You? Explaining the Predictions of Any Classifier (LIME). KDD.</w:t>
      </w:r>
    </w:p>
    <w:p>
      <w:pPr>
        <w:spacing w:before="100" w:after="140" w:line="360" w:lineRule="auto"/>
        <w:ind/>
        <w:jc w:val="both"/>
      </w:pPr>
      <w:r>
        <w:rPr>
          <w:rFonts w:ascii="Times New Roman" w:cs="Times New Roman" w:eastAsia="Times New Roman" w:hAnsi="Times New Roman"/>
          <w:sz w:val="24"/>
          <w:szCs w:val="24"/>
        </w:rPr>
        <w:t xml:space="preserve">[10] Templeton, A. et al. (2024). Scaling Monosemanticity: Extracting Interpretable Features from Claude. Anthropic.</w:t>
      </w:r>
    </w:p>
    <w:p>
      <w:pPr>
        <w:spacing w:before="100" w:after="140" w:line="360" w:lineRule="auto"/>
        <w:ind/>
        <w:jc w:val="both"/>
      </w:pPr>
      <w:r>
        <w:rPr>
          <w:rFonts w:ascii="Times New Roman" w:cs="Times New Roman" w:eastAsia="Times New Roman" w:hAnsi="Times New Roman"/>
          <w:sz w:val="24"/>
          <w:szCs w:val="24"/>
        </w:rPr>
        <w:t xml:space="preserve">[11] Gorton, L. et al. (2025). Interpreting Evo 2. Goodfire Research.</w:t>
      </w:r>
    </w:p>
    <w:p>
      <w:pPr>
        <w:spacing w:before="100" w:after="140" w:line="360" w:lineRule="auto"/>
        <w:ind/>
        <w:jc w:val="both"/>
      </w:pPr>
      <w:r>
        <w:rPr>
          <w:rFonts w:ascii="Times New Roman" w:cs="Times New Roman" w:eastAsia="Times New Roman" w:hAnsi="Times New Roman"/>
          <w:sz w:val="24"/>
          <w:szCs w:val="24"/>
        </w:rPr>
        <w:t xml:space="preserve">[12] European Parliament (2024). EU Artificial Intelligence Act. Official Journal of the EU.</w:t>
      </w:r>
    </w:p>
    <w:p>
      <w:pPr>
        <w:spacing w:before="100" w:after="140" w:line="360" w:lineRule="auto"/>
        <w:ind/>
        <w:jc w:val="both"/>
      </w:pPr>
      <w:r>
        <w:rPr>
          <w:rFonts w:ascii="Times New Roman" w:cs="Times New Roman" w:eastAsia="Times New Roman" w:hAnsi="Times New Roman"/>
          <w:sz w:val="24"/>
          <w:szCs w:val="24"/>
        </w:rPr>
        <w:t xml:space="preserve">[13] Board of Governors of the Federal Reserve (2011). SR 11-7: Guidance on Model Risk Management.</w:t>
      </w:r>
    </w:p>
    <w:p>
      <w:pPr>
        <w:spacing w:before="100" w:after="140" w:line="360" w:lineRule="auto"/>
        <w:ind/>
        <w:jc w:val="both"/>
      </w:pPr>
      <w:r>
        <w:rPr>
          <w:rFonts w:ascii="Times New Roman" w:cs="Times New Roman" w:eastAsia="Times New Roman" w:hAnsi="Times New Roman"/>
          <w:sz w:val="24"/>
          <w:szCs w:val="24"/>
        </w:rPr>
        <w:t xml:space="preserve">[14] FDA (2021). Artificial Intelligence/Machine Learning-Based Software as a Medical Device Action Plan.</w:t>
      </w:r>
    </w:p>
    <w:p>
      <w:pPr>
        <w:spacing w:before="100" w:after="140" w:line="360" w:lineRule="auto"/>
        <w:ind/>
        <w:jc w:val="both"/>
      </w:pPr>
      <w:r>
        <w:rPr>
          <w:rFonts w:ascii="Times New Roman" w:cs="Times New Roman" w:eastAsia="Times New Roman" w:hAnsi="Times New Roman"/>
          <w:sz w:val="24"/>
          <w:szCs w:val="24"/>
        </w:rPr>
        <w:t xml:space="preserve">[15] Executive Office of the President (2023). Executive Order on Safe, Secure, and Trustworthy AI. The White House.</w:t>
      </w:r>
    </w:p>
    <w:p>
      <w:pPr>
        <w:spacing w:before="100" w:after="140" w:line="360" w:lineRule="auto"/>
        <w:ind/>
        <w:jc w:val="both"/>
      </w:pPr>
      <w:r>
        <w:rPr>
          <w:rFonts w:ascii="Times New Roman" w:cs="Times New Roman" w:eastAsia="Times New Roman" w:hAnsi="Times New Roman"/>
          <w:sz w:val="24"/>
          <w:szCs w:val="24"/>
        </w:rPr>
        <w:t xml:space="preserve">[16] Baehrens, D. et al. (2010). How to Explain Individual Classification Decisions. JMLR.</w:t>
      </w:r>
    </w:p>
    <w:p>
      <w:pPr>
        <w:spacing w:before="100" w:after="140" w:line="360" w:lineRule="auto"/>
        <w:ind/>
        <w:jc w:val="both"/>
      </w:pPr>
      <w:r>
        <w:rPr>
          <w:rFonts w:ascii="Times New Roman" w:cs="Times New Roman" w:eastAsia="Times New Roman" w:hAnsi="Times New Roman"/>
          <w:sz w:val="24"/>
          <w:szCs w:val="24"/>
        </w:rPr>
        <w:t xml:space="preserve">[17] Rudin, C. (2019). Stop Explaining Black Box Machine Learning Models for High Stakes Decisions and Use Interpretable Models Instead. Nature Machine Intelligence.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360" w:after="18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2E74B5"/>
      <w:sz w:val="26"/>
      <w:szCs w:val="26"/>
    </w:rPr>
  </w:style>
  <w:style w:type="paragraph" w:styleId="Heading3">
    <w:name w:val="Heading 3"/>
    <w:basedOn w:val="Normal"/>
    <w:next w:val="Normal"/>
    <w:qFormat/>
    <w:pPr>
      <w:spacing w:before="220" w:after="100"/>
      <w:outlineLvl w:val="2"/>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2026-03-27T02:36:25.260Z</dcterms:created>
  <dcterms:modified xsi:type="dcterms:W3CDTF">2026-03-27T02:36:25.261Z</dcterms:modified>
</cp:coreProperties>
</file>

<file path=docProps/custom.xml><?xml version="1.0" encoding="utf-8"?>
<Properties xmlns="http://schemas.openxmlformats.org/officeDocument/2006/custom-properties" xmlns:vt="http://schemas.openxmlformats.org/officeDocument/2006/docPropsVTypes"/>
</file>