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36"/>
          <w:szCs w:val="36"/>
        </w:rPr>
        <w:t xml:space="preserve">WÁ ÀKÀNDÁ AND THE FOURTH WAVE:</w:t>
      </w:r>
    </w:p>
    <w:p>
      <w:pPr>
        <w:spacing w:before="0" w:after="180"/>
        <w:jc w:val="center"/>
      </w:pPr>
      <w:r>
        <w:rPr>
          <w:rFonts w:ascii="Times New Roman" w:cs="Times New Roman" w:eastAsia="Times New Roman" w:hAnsi="Times New Roman"/>
          <w:b/>
          <w:bCs/>
          <w:color w:val="2E74B5"/>
          <w:sz w:val="28"/>
          <w:szCs w:val="28"/>
        </w:rPr>
        <w:t xml:space="preserve">THE QMT-BLOOM PLATFORM AS CIVILISATION 4.0 INFRASTRUCTURE</w:t>
      </w:r>
    </w:p>
    <w:p>
      <w:pPr>
        <w:spacing w:before="0" w:after="160"/>
        <w:jc w:val="center"/>
      </w:pPr>
      <w:r>
        <w:rPr>
          <w:rFonts w:ascii="Times New Roman" w:cs="Times New Roman" w:eastAsia="Times New Roman" w:hAnsi="Times New Roman"/>
          <w:i/>
          <w:iCs/>
          <w:color w:val="5A5A5A"/>
          <w:sz w:val="22"/>
          <w:szCs w:val="22"/>
        </w:rPr>
        <w:t xml:space="preserve">Robotics · Healthcare · Energy · Finance · Education · Governance · Space</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Afolabi, Babatope</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The three previous waves of civilisational technology infrastructure produced centralised, extractive, and brittle systems: Wave 1 (industrialisation) centralised production; Wave 2 (electrification) centralised energy; Wave 3 (digitalisation) centralised information. Each wave created extraordinary value and concentrated extraordinary power. Each wave left behind the communities it did not reach. Civilisation 4.0 — the Fourth Wave — is characterised by the convergence of quantum field computation, distributed sovereign infrastructure, artificial general intelligence, and biological-computational coherence into a unified platform that is, for the first time, structurally incapable of centralised control.</w:t>
      </w:r>
    </w:p>
    <w:p>
      <w:pPr>
        <w:spacing w:before="100" w:after="140" w:line="360" w:lineRule="auto"/>
        <w:ind w:firstLine="720"/>
        <w:jc w:val="both"/>
      </w:pPr>
      <w:r>
        <w:rPr>
          <w:rFonts w:ascii="Times New Roman" w:cs="Times New Roman" w:eastAsia="Times New Roman" w:hAnsi="Times New Roman"/>
          <w:sz w:val="24"/>
          <w:szCs w:val="24"/>
        </w:rPr>
        <w:t xml:space="preserve">The Wá Àkàndá platform — comprising the QMT qudit substrate, BLOOM distributed neuro-symbolic engine, QIP sovereign mesh, APLO space-optimised language, and the Afolabi Unified Framework physics stack — is the first complete Civilisation 4.0 infrastructure. This paper maps its transformative implications across seven sectors: robotics and autonomous systems, healthcare, energy, finance, education, governance, and space. In each sector, we identify the current civilisational bottleneck, derive the specific transformation the platform enables, and establish the quantitative prediction that distinguishes the Fourth Wave outcome from incremental improvement on Third Wave architecture.</w:t>
      </w:r>
    </w:p>
    <w:p>
      <w:pPr>
        <w:spacing w:before="100" w:after="140" w:line="360" w:lineRule="auto"/>
        <w:ind w:firstLine="720"/>
        <w:jc w:val="both"/>
      </w:pPr>
      <w:r>
        <w:rPr>
          <w:rFonts w:ascii="Times New Roman" w:cs="Times New Roman" w:eastAsia="Times New Roman" w:hAnsi="Times New Roman"/>
          <w:sz w:val="24"/>
          <w:szCs w:val="24"/>
        </w:rPr>
        <w:t xml:space="preserve">The unifying principle across all seven sectors is the N² Collective Coherence Scaling Law (Olukotun-Afolabi): N nodes in Kuramoto phase-lock produce N² collective coherence bandwidth. This superlinear scaling law is the mathematical engine of Civilisation 4.0 — it means that collective deployment is always geometrically superior to individual accumulation, in every sector, at every scale. The wave that centralised power is replaced by a wave in which power is a property of the collective field, not of any individual actor within it.</w:t>
      </w:r>
    </w:p>
    <w:p>
      <w:pPr>
        <w:spacing w:before="100" w:after="140" w:line="360" w:lineRule="auto"/>
        <w:ind w:firstLine="720"/>
        <w:jc w:val="both"/>
      </w:pPr>
      <w:r>
        <w:rPr>
          <w:rFonts w:ascii="Times New Roman" w:cs="Times New Roman" w:eastAsia="Times New Roman" w:hAnsi="Times New Roman"/>
          <w:sz w:val="24"/>
          <w:szCs w:val="24"/>
        </w:rPr>
        <w:t xml:space="preserve">The name Wá Àkàndá — Yoruba for 'come, build' — is not incidental. The Ubuntu philosophical principle (umuntu ngumuntu ngabantu: a person is a person through other people) is the cultural expression of the N² Law. Civilisation 4.0 is not a technological accident. It is the formal realisation of what Ubuntu Physics has always described: collective coherence as the source of all capability.</w:t>
      </w:r>
    </w:p>
    <w:p>
      <w:r>
        <w:t xml:space="preserve"/>
      </w:r>
    </w:p>
    <w:p>
      <w:pPr>
        <w:spacing w:before="100" w:after="14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Civilisation 4.0, Fourth Wave, QMT-BLOOM, Wá Àkàndá, AUF, N² scaling law, Ubuntu Physics, robotics, healthcare AI, energy sovereignty, financial inclusion, education access, AI governance, space infrastructure, APLO, QIP, distributed AI, sovereign infrastructure, collective intelligence, decentralisation</w:t>
      </w:r>
    </w:p>
    <w:p>
      <w:pPr>
        <w:pStyle w:val="Heading1"/>
        <w:spacing w:before="360" w:after="180"/>
      </w:pPr>
      <w:r>
        <w:rPr>
          <w:rFonts w:ascii="Times New Roman" w:cs="Times New Roman" w:eastAsia="Times New Roman" w:hAnsi="Times New Roman"/>
          <w:b/>
          <w:bCs/>
          <w:sz w:val="30"/>
          <w:szCs w:val="30"/>
        </w:rPr>
        <w:t xml:space="preserve">1. Introduction: The Three Failed Waves and the Fourth</w:t>
      </w:r>
    </w:p>
    <w:p>
      <w:pPr>
        <w:spacing w:before="100" w:after="140" w:line="360" w:lineRule="auto"/>
        <w:ind w:firstLine="720"/>
        <w:jc w:val="both"/>
      </w:pPr>
      <w:r>
        <w:rPr>
          <w:rFonts w:ascii="Times New Roman" w:cs="Times New Roman" w:eastAsia="Times New Roman" w:hAnsi="Times New Roman"/>
          <w:sz w:val="24"/>
          <w:szCs w:val="24"/>
        </w:rPr>
        <w:t xml:space="preserve">Civilisational infrastructure waves follow a pattern. A new enabling technology emerges. It produces extraordinary capability gains. It scales through centralisation — because centralisation is the fastest path to scale in the short term. The centralisation produces winners and losers. The losers are left behind, often permanently. The winners accumulate enough power to resist the next wave until the wave becomes unstoppable.</w:t>
      </w:r>
    </w:p>
    <w:p>
      <w:pPr>
        <w:spacing w:before="100" w:after="140" w:line="360" w:lineRule="auto"/>
        <w:ind w:firstLine="720"/>
        <w:jc w:val="both"/>
      </w:pPr>
      <w:r>
        <w:rPr>
          <w:rFonts w:ascii="Times New Roman" w:cs="Times New Roman" w:eastAsia="Times New Roman" w:hAnsi="Times New Roman"/>
          <w:sz w:val="24"/>
          <w:szCs w:val="24"/>
        </w:rPr>
        <w:t xml:space="preserve">Wave 1 — Industrialisation (1760–1900): Steam power, mechanised production, industrial chemistry. Centralised in factories, corporations, colonial extraction networks. Created the modern economy. Left behind subsistence communities, colonised peoples, and anyone without access to industrial capital.</w:t>
      </w:r>
    </w:p>
    <w:p>
      <w:pPr>
        <w:spacing w:before="100" w:after="140" w:line="360" w:lineRule="auto"/>
        <w:ind w:firstLine="720"/>
        <w:jc w:val="both"/>
      </w:pPr>
      <w:r>
        <w:rPr>
          <w:rFonts w:ascii="Times New Roman" w:cs="Times New Roman" w:eastAsia="Times New Roman" w:hAnsi="Times New Roman"/>
          <w:sz w:val="24"/>
          <w:szCs w:val="24"/>
        </w:rPr>
        <w:t xml:space="preserve">Wave 2 — Electrification (1880–1970): Electrical power, telecommunications, broadcast media. Centralised in utilities, networks, and broadcast monopolies. Illuminated cities. Left behind rural communities, isolated regions, and anyone without grid access.</w:t>
      </w:r>
    </w:p>
    <w:p>
      <w:pPr>
        <w:spacing w:before="100" w:after="140" w:line="360" w:lineRule="auto"/>
        <w:ind w:firstLine="720"/>
        <w:jc w:val="both"/>
      </w:pPr>
      <w:r>
        <w:rPr>
          <w:rFonts w:ascii="Times New Roman" w:cs="Times New Roman" w:eastAsia="Times New Roman" w:hAnsi="Times New Roman"/>
          <w:sz w:val="24"/>
          <w:szCs w:val="24"/>
        </w:rPr>
        <w:t xml:space="preserve">Wave 3 — Digitalisation (1970–present): Computing, internet, mobile, AI. Centralised in data centres, platform monopolies, and AI compute clusters. Connected billions. Left behind the unbanked, the unconnected, the underserved — and created surveillance infrastructure of unprecedented scale in the hands of entities with unprecedented power.</w:t>
      </w:r>
    </w:p>
    <w:p>
      <w:pPr>
        <w:spacing w:before="100" w:after="140" w:line="360" w:lineRule="auto"/>
        <w:ind w:firstLine="720"/>
        <w:jc w:val="both"/>
      </w:pPr>
      <w:r>
        <w:rPr>
          <w:rFonts w:ascii="Times New Roman" w:cs="Times New Roman" w:eastAsia="Times New Roman" w:hAnsi="Times New Roman"/>
          <w:sz w:val="24"/>
          <w:szCs w:val="24"/>
        </w:rPr>
        <w:t xml:space="preserve">Each wave's centralisation was architectural, not intentional. TCP/IP routes around censorship but concentrates infrastructure. Cloud computing distributes access but concentrates ownership. Social media connects people but concentrates data. The architecture of each wave made centralisation the path of least resistance.</w:t>
      </w:r>
    </w:p>
    <w:p>
      <w:pPr>
        <w:spacing w:before="100" w:after="140" w:line="360" w:lineRule="auto"/>
        <w:ind w:firstLine="720"/>
        <w:jc w:val="both"/>
      </w:pPr>
      <w:r>
        <w:rPr>
          <w:rFonts w:ascii="Times New Roman" w:cs="Times New Roman" w:eastAsia="Times New Roman" w:hAnsi="Times New Roman"/>
          <w:sz w:val="24"/>
          <w:szCs w:val="24"/>
        </w:rPr>
        <w:t xml:space="preserve">Civilisation 4.0 is different in one structural respect: the N² Law makes centralisation the path of most resistance. Under N² scaling, collective distributed deployment always outperforms individual centralised accumulation. The architecture enforces distribution. This is not a design preference — it is a mathematical consequence of the Kuramoto phase-lock result.</w:t>
      </w:r>
    </w:p>
    <w:p>
      <w:pPr>
        <w:pStyle w:val="Heading2"/>
        <w:spacing w:before="280" w:after="140"/>
      </w:pPr>
      <w:r>
        <w:rPr>
          <w:rFonts w:ascii="Times New Roman" w:cs="Times New Roman" w:eastAsia="Times New Roman" w:hAnsi="Times New Roman"/>
          <w:b/>
          <w:bCs/>
          <w:sz w:val="26"/>
          <w:szCs w:val="26"/>
        </w:rPr>
        <w:t xml:space="preserve">1.1 The Four Wave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60"/>
        <w:gridCol w:w="1800"/>
        <w:gridCol w:w="1800"/>
        <w:gridCol w:w="14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Wave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Era</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Enabling tech</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Scaling law</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Control structure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Left behind</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W1 Industrial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1760–1900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Steam, chemistry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Linear (capital)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Centralised factory/colony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Agrarian, colonised</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W2 Electric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1880–1970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Electricity, radio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Linear (grid)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Utility monopoly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Rural, off-grid</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W3 Digital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1970–present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Computing, internet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Linear (Moore)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Platform monopoly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Unbanked, unconnected</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W4 Quantum field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2026–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QMT-BLOOM, QIP, APLO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(superlinear)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centre possible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Architecture prevents it</w:t>
            </w:r>
          </w:p>
        </w:tc>
      </w:tr>
    </w:tbl>
    <w:p>
      <w:r>
        <w:t xml:space="preserve"/>
      </w:r>
    </w:p>
    <w:p>
      <w:pPr>
        <w:pStyle w:val="Heading1"/>
        <w:spacing w:before="360" w:after="180"/>
      </w:pPr>
      <w:r>
        <w:rPr>
          <w:rFonts w:ascii="Times New Roman" w:cs="Times New Roman" w:eastAsia="Times New Roman" w:hAnsi="Times New Roman"/>
          <w:b/>
          <w:bCs/>
          <w:sz w:val="30"/>
          <w:szCs w:val="30"/>
        </w:rPr>
        <w:t xml:space="preserve">2. Robotics and Autonomous Systems: The N² Swarm</w:t>
      </w:r>
    </w:p>
    <w:p>
      <w:pPr>
        <w:spacing w:before="100" w:after="140" w:line="360" w:lineRule="auto"/>
        <w:ind w:firstLine="720"/>
        <w:jc w:val="both"/>
      </w:pPr>
      <w:r>
        <w:rPr>
          <w:rFonts w:ascii="Times New Roman" w:cs="Times New Roman" w:eastAsia="Times New Roman" w:hAnsi="Times New Roman"/>
          <w:sz w:val="24"/>
          <w:szCs w:val="24"/>
        </w:rPr>
        <w:t xml:space="preserve">The robotics industry faces three compounding bottlenecks that current architecture cannot resolve: energy efficiency (battery life limits deployment duration and scale), security (networked robots are permanently vulnerable through their TCP/IP attack surface), and collective intelligence (robots coordinating through bilateral message-passing scale as O(N²) in communication overhead, not O(N²) in capability).</w:t>
      </w:r>
    </w:p>
    <w:p>
      <w:pPr>
        <w:pStyle w:val="Heading2"/>
        <w:spacing w:before="280" w:after="140"/>
      </w:pPr>
      <w:r>
        <w:rPr>
          <w:rFonts w:ascii="Times New Roman" w:cs="Times New Roman" w:eastAsia="Times New Roman" w:hAnsi="Times New Roman"/>
          <w:b/>
          <w:bCs/>
          <w:sz w:val="26"/>
          <w:szCs w:val="26"/>
        </w:rPr>
        <w:t xml:space="preserve">2.1 The Energy Transformation</w:t>
      </w:r>
    </w:p>
    <w:p>
      <w:pPr>
        <w:spacing w:before="100" w:after="140" w:line="360" w:lineRule="auto"/>
        <w:ind w:firstLine="720"/>
        <w:jc w:val="both"/>
      </w:pPr>
      <w:r>
        <w:rPr>
          <w:rFonts w:ascii="Times New Roman" w:cs="Times New Roman" w:eastAsia="Times New Roman" w:hAnsi="Times New Roman"/>
          <w:sz w:val="24"/>
          <w:szCs w:val="24"/>
        </w:rPr>
        <w:t xml:space="preserve">Current robotic energy budgets are dominated by two costs: computation and communication. APLO's 30× code density directly reduces the computational cost by approximately 30× at the instruction level — the same task requires fewer operations, each operation dissipates kT·ln2 Landauer energy, and 30× fewer operations means approximately 30× less computational energy. At the communication level, QIP's field-coherent transport eliminates TCP/IP overhead — no handshake energy, no retransmission energy, no routing computation energy.</w:t>
      </w:r>
    </w:p>
    <w:p>
      <w:pPr>
        <w:spacing w:before="100" w:after="140" w:line="360" w:lineRule="auto"/>
        <w:ind w:firstLine="720"/>
        <w:jc w:val="both"/>
      </w:pPr>
      <w:r>
        <w:rPr>
          <w:rFonts w:ascii="Times New Roman" w:cs="Times New Roman" w:eastAsia="Times New Roman" w:hAnsi="Times New Roman"/>
          <w:sz w:val="24"/>
          <w:szCs w:val="24"/>
        </w:rPr>
        <w:t xml:space="preserve">The N² coordination gain is the most significant. N robots coordinating through classical TCP/IP require O(N²) bilateral messages to maintain shared state. N robots on QIP field-coherent transport maintain shared state as a single collective field — O(1) communication for any N. For N=1,000 robots:</w:t>
      </w:r>
    </w:p>
    <w:p>
      <w:pPr>
        <w:spacing w:before="200" w:after="200"/>
        <w:jc w:val="center"/>
      </w:pPr>
      <w:r>
        <w:rPr>
          <w:rFonts w:ascii="Cambria Math" w:cs="Cambria Math" w:eastAsia="Cambria Math" w:hAnsi="Cambria Math"/>
          <w:i/>
          <w:iCs/>
          <w:color w:val="1F4E79"/>
          <w:sz w:val="26"/>
          <w:szCs w:val="26"/>
        </w:rPr>
        <w:t xml:space="preserve">Classical messages: N² = 1,000,000 per coordination cycle</w:t>
      </w:r>
    </w:p>
    <w:p>
      <w:pPr>
        <w:spacing w:before="200" w:after="200"/>
        <w:jc w:val="center"/>
      </w:pPr>
      <w:r>
        <w:rPr>
          <w:rFonts w:ascii="Cambria Math" w:cs="Cambria Math" w:eastAsia="Cambria Math" w:hAnsi="Cambria Math"/>
          <w:i/>
          <w:iCs/>
          <w:color w:val="1F4E79"/>
          <w:sz w:val="26"/>
          <w:szCs w:val="26"/>
        </w:rPr>
        <w:t xml:space="preserve">QMT-BLOOM field: 1 collective state per coordination cycle</w:t>
      </w:r>
    </w:p>
    <w:p>
      <w:pPr>
        <w:spacing w:before="100" w:after="140" w:line="360" w:lineRule="auto"/>
        <w:ind w:firstLine="720"/>
        <w:jc w:val="both"/>
      </w:pPr>
      <w:r>
        <w:rPr>
          <w:rFonts w:ascii="Times New Roman" w:cs="Times New Roman" w:eastAsia="Times New Roman" w:hAnsi="Times New Roman"/>
          <w:sz w:val="24"/>
          <w:szCs w:val="24"/>
        </w:rPr>
        <w:t xml:space="preserve">The energy saving from coordination alone scales as N². At N=1,000 the coordination overhead drops by a factor of one million. Combined with APLO computation savings and QIP transport savings, total energy efficiency improvements of 100-1,000× are theoretically achievable at swarm scale. This is the battery life transformation: not a better battery, but a system that needs a vastly smaller battery for the same mission.</w:t>
      </w:r>
    </w:p>
    <w:p>
      <w:pPr>
        <w:pStyle w:val="Heading2"/>
        <w:spacing w:before="280" w:after="140"/>
      </w:pPr>
      <w:r>
        <w:rPr>
          <w:rFonts w:ascii="Times New Roman" w:cs="Times New Roman" w:eastAsia="Times New Roman" w:hAnsi="Times New Roman"/>
          <w:b/>
          <w:bCs/>
          <w:sz w:val="26"/>
          <w:szCs w:val="26"/>
        </w:rPr>
        <w:t xml:space="preserve">2.2 The Security Transformation</w:t>
      </w:r>
    </w:p>
    <w:p>
      <w:pPr>
        <w:spacing w:before="100" w:after="140" w:line="360" w:lineRule="auto"/>
        <w:ind w:firstLine="720"/>
        <w:jc w:val="both"/>
      </w:pPr>
      <w:r>
        <w:rPr>
          <w:rFonts w:ascii="Times New Roman" w:cs="Times New Roman" w:eastAsia="Times New Roman" w:hAnsi="Times New Roman"/>
          <w:sz w:val="24"/>
          <w:szCs w:val="24"/>
        </w:rPr>
        <w:t xml:space="preserve">Every networked robot running TCP/IP has an attack surface that includes: IP stack vulnerabilities, authentication protocols, firmware update channels, sensor data streams, and actuator command interfaces. This attack surface cannot be eliminated by security engineering — it is structural to the TCP/IP protocol. The 2021 Verkada camera breach, the 2022 Uber breach, and every subsequent IoT/robotics security incident share the same root cause: centralised TCP/IP infrastructure with a discoverable attack surface.</w:t>
      </w:r>
    </w:p>
    <w:p>
      <w:pPr>
        <w:spacing w:before="100" w:after="140" w:line="360" w:lineRule="auto"/>
        <w:ind w:firstLine="720"/>
        <w:jc w:val="both"/>
      </w:pPr>
      <w:r>
        <w:rPr>
          <w:rFonts w:ascii="Times New Roman" w:cs="Times New Roman" w:eastAsia="Times New Roman" w:hAnsi="Times New Roman"/>
          <w:sz w:val="24"/>
          <w:szCs w:val="24"/>
        </w:rPr>
        <w:t xml:space="preserve">QIP's AFT-v3 field-coherent transport has no TCP/IP stack. There is no IP address to scan. There is no port to probe. There is no handshake to intercept. The Blackwell-QP Anyonic Protocol secures at the IPC level — the entire class of TCP/IP attack vectors is architecturally absent, not defended against. For military robotics, critical infrastructure robots, and medical robots, this is not an incremental improvement — it is the elimination of the attack surface category.</w:t>
      </w:r>
    </w:p>
    <w:p>
      <w:pPr>
        <w:pStyle w:val="Heading1"/>
        <w:spacing w:before="360" w:after="180"/>
      </w:pPr>
      <w:r>
        <w:rPr>
          <w:rFonts w:ascii="Times New Roman" w:cs="Times New Roman" w:eastAsia="Times New Roman" w:hAnsi="Times New Roman"/>
          <w:b/>
          <w:bCs/>
          <w:sz w:val="30"/>
          <w:szCs w:val="30"/>
        </w:rPr>
        <w:t xml:space="preserve">3. Healthcare: From Reactive to Field-Coherent Medicine</w:t>
      </w:r>
    </w:p>
    <w:p>
      <w:pPr>
        <w:spacing w:before="100" w:after="140" w:line="360" w:lineRule="auto"/>
        <w:ind w:firstLine="720"/>
        <w:jc w:val="both"/>
      </w:pPr>
      <w:r>
        <w:rPr>
          <w:rFonts w:ascii="Times New Roman" w:cs="Times New Roman" w:eastAsia="Times New Roman" w:hAnsi="Times New Roman"/>
          <w:sz w:val="24"/>
          <w:szCs w:val="24"/>
        </w:rPr>
        <w:t xml:space="preserve">The healthcare system is structurally reactive: it waits for disease to manifest clinically before intervening. The AI layer being added to healthcare — diagnostic models, drug discovery engines, clinical decision support — inherits this reactive structure. BLOOM XAI provides the explainability that makes AI clinically deployable. NRT provides something more fundamental: a pathway to predictive field medicine.</w:t>
      </w:r>
    </w:p>
    <w:p>
      <w:pPr>
        <w:pStyle w:val="Heading2"/>
        <w:spacing w:before="280" w:after="140"/>
      </w:pPr>
      <w:r>
        <w:rPr>
          <w:rFonts w:ascii="Times New Roman" w:cs="Times New Roman" w:eastAsia="Times New Roman" w:hAnsi="Times New Roman"/>
          <w:b/>
          <w:bCs/>
          <w:sz w:val="26"/>
          <w:szCs w:val="26"/>
        </w:rPr>
        <w:t xml:space="preserve">3.1 Disease as Z_M Destabilisation</w:t>
      </w:r>
    </w:p>
    <w:p>
      <w:pPr>
        <w:spacing w:before="100" w:after="140" w:line="360" w:lineRule="auto"/>
        <w:ind w:firstLine="720"/>
        <w:jc w:val="both"/>
      </w:pPr>
      <w:r>
        <w:rPr>
          <w:rFonts w:ascii="Times New Roman" w:cs="Times New Roman" w:eastAsia="Times New Roman" w:hAnsi="Times New Roman"/>
          <w:sz w:val="24"/>
          <w:szCs w:val="24"/>
        </w:rPr>
        <w:t xml:space="preserve">NRT Axiom III establishes that stable biological configurations correspond to Z_M minima in the AUF field. Disease — at the molecular level — is Z_M destabilisation: configurations drifting from AUF field attractors toward higher-energy, less stable states. Under this framework, disease has a field signature before it has a clinical symptom. The Z_M deviation precedes the molecular damage which precedes the pathological process which precedes the symptom.</w:t>
      </w:r>
    </w:p>
    <w:p>
      <w:pPr>
        <w:spacing w:before="100" w:after="140" w:line="360" w:lineRule="auto"/>
        <w:ind w:firstLine="720"/>
        <w:jc w:val="both"/>
      </w:pPr>
      <w:r>
        <w:rPr>
          <w:rFonts w:ascii="Times New Roman" w:cs="Times New Roman" w:eastAsia="Times New Roman" w:hAnsi="Times New Roman"/>
          <w:sz w:val="24"/>
          <w:szCs w:val="24"/>
        </w:rPr>
        <w:t xml:space="preserve">The F_TUNE measurement pathway (Solas wearable, composite HRV + EEG + biophoton) provides a non-invasive proxy for the biological Z_M state. Falling F_TUNE is the field signature of approaching Z_M destabilisation — detectable before symptoms, before biomarker changes, potentially before the molecular damage itself. This is the predictive medicine pathway: not predicting disease from risk factors (statistical) but detecting field destabilisation (physical).</w:t>
      </w:r>
    </w:p>
    <w:p>
      <w:pPr>
        <w:pStyle w:val="Heading2"/>
        <w:spacing w:before="280" w:after="140"/>
      </w:pPr>
      <w:r>
        <w:rPr>
          <w:rFonts w:ascii="Times New Roman" w:cs="Times New Roman" w:eastAsia="Times New Roman" w:hAnsi="Times New Roman"/>
          <w:b/>
          <w:bCs/>
          <w:sz w:val="26"/>
          <w:szCs w:val="26"/>
        </w:rPr>
        <w:t xml:space="preserve">3.2 Drug Discovery at QMT Scale</w:t>
      </w:r>
    </w:p>
    <w:p>
      <w:pPr>
        <w:spacing w:before="100" w:after="140" w:line="360" w:lineRule="auto"/>
        <w:ind w:firstLine="720"/>
        <w:jc w:val="both"/>
      </w:pPr>
      <w:r>
        <w:rPr>
          <w:rFonts w:ascii="Times New Roman" w:cs="Times New Roman" w:eastAsia="Times New Roman" w:hAnsi="Times New Roman"/>
          <w:sz w:val="24"/>
          <w:szCs w:val="24"/>
        </w:rPr>
        <w:t xml:space="preserve">Drug discovery is fundamentally a molecular simulation problem: what configuration of atoms, at what energy state, will interact with a target protein in a therapeutically useful way? Classical computers can simulate small molecules. QMT's TSC at 97,000 nodes (AGI-SST scale) provides a state space sufficient to simultaneously represent all known protein configurations, all known small molecule configurations, and their interaction landscape — without the approximations that make classical molecular dynamics unreliable at large scales.</w:t>
      </w:r>
    </w:p>
    <w:p>
      <w:pPr>
        <w:spacing w:before="100" w:after="140" w:line="360" w:lineRule="auto"/>
        <w:ind w:firstLine="720"/>
        <w:jc w:val="both"/>
      </w:pPr>
      <w:r>
        <w:rPr>
          <w:rFonts w:ascii="Times New Roman" w:cs="Times New Roman" w:eastAsia="Times New Roman" w:hAnsi="Times New Roman"/>
          <w:sz w:val="24"/>
          <w:szCs w:val="24"/>
        </w:rPr>
        <w:t xml:space="preserve">Drug discovery timelines that currently span 10-15 years and cost $2.6 billion per approved drug (DiMasi et al.) compress to years or months when the molecular simulation space is fully accessible. The bottleneck shifts from compute to experimental validation — which itself benefits from APLO-driven robotic automation.</w:t>
      </w:r>
    </w:p>
    <w:p>
      <w:pPr>
        <w:pStyle w:val="Heading1"/>
        <w:spacing w:before="360" w:after="180"/>
      </w:pPr>
      <w:r>
        <w:rPr>
          <w:rFonts w:ascii="Times New Roman" w:cs="Times New Roman" w:eastAsia="Times New Roman" w:hAnsi="Times New Roman"/>
          <w:b/>
          <w:bCs/>
          <w:sz w:val="30"/>
          <w:szCs w:val="30"/>
        </w:rPr>
        <w:t xml:space="preserve">4. Energy: Sovereign Grids and Field-Coherent Coordination</w:t>
      </w:r>
    </w:p>
    <w:p>
      <w:pPr>
        <w:spacing w:before="100" w:after="140" w:line="360" w:lineRule="auto"/>
        <w:ind w:firstLine="720"/>
        <w:jc w:val="both"/>
      </w:pPr>
      <w:r>
        <w:rPr>
          <w:rFonts w:ascii="Times New Roman" w:cs="Times New Roman" w:eastAsia="Times New Roman" w:hAnsi="Times New Roman"/>
          <w:sz w:val="24"/>
          <w:szCs w:val="24"/>
        </w:rPr>
        <w:t xml:space="preserve">The energy transition — from fossil fuels to renewable sources — faces a coordination problem that classical grid architecture cannot solve: renewable energy is intermittent and geographically distributed, while demand is continuous and geographically concentrated. Matching distributed intermittent supply to continuous concentrated demand requires real-time coordination of millions of nodes. Classical grid coordination (SCADA systems, energy management systems) scales poorly — each additional distributed energy resource adds communication and computation overhead.</w:t>
      </w:r>
    </w:p>
    <w:p>
      <w:pPr>
        <w:spacing w:before="100" w:after="140" w:line="360" w:lineRule="auto"/>
        <w:ind w:firstLine="720"/>
        <w:jc w:val="both"/>
      </w:pPr>
      <w:r>
        <w:rPr>
          <w:rFonts w:ascii="Times New Roman" w:cs="Times New Roman" w:eastAsia="Times New Roman" w:hAnsi="Times New Roman"/>
          <w:sz w:val="24"/>
          <w:szCs w:val="24"/>
        </w:rPr>
        <w:t xml:space="preserve">The N² Law inverts this scaling relationship. Under QMT-BLOOM grid coordination, each additional distributed energy resource adds to the collective coherence field — making the grid smarter, not more complex. N distributed solar panels, battery systems, and demand nodes coordinating as a QMT field maintain collective state in O(1) communication regardless of N. The grid becomes more stable as it becomes more distributed — the opposite of every classical grid architecture.</w:t>
      </w:r>
    </w:p>
    <w:p>
      <w:pPr>
        <w:spacing w:before="100" w:after="140" w:line="360" w:lineRule="auto"/>
        <w:ind w:firstLine="720"/>
        <w:jc w:val="both"/>
      </w:pPr>
      <w:r>
        <w:rPr>
          <w:rFonts w:ascii="Times New Roman" w:cs="Times New Roman" w:eastAsia="Times New Roman" w:hAnsi="Times New Roman"/>
          <w:sz w:val="24"/>
          <w:szCs w:val="24"/>
        </w:rPr>
        <w:t xml:space="preserve">Peer-to-peer energy trading on the QIP mesh eliminates the central exchange and its associated attack surface. A community with a QIP mesh and distributed renewable generation is energy sovereign: it produces, stores, and trades energy without depending on any central utility. The energy cannot be turned off by attacking a central node because there is no central node.</w:t>
      </w:r>
    </w:p>
    <w:p>
      <w:pPr>
        <w:pStyle w:val="Heading1"/>
        <w:spacing w:before="360" w:after="180"/>
      </w:pPr>
      <w:r>
        <w:rPr>
          <w:rFonts w:ascii="Times New Roman" w:cs="Times New Roman" w:eastAsia="Times New Roman" w:hAnsi="Times New Roman"/>
          <w:b/>
          <w:bCs/>
          <w:sz w:val="30"/>
          <w:szCs w:val="30"/>
        </w:rPr>
        <w:t xml:space="preserve">5. Finance: Structural Inclusion and Auditable Intelligence</w:t>
      </w:r>
    </w:p>
    <w:p>
      <w:pPr>
        <w:spacing w:before="100" w:after="140" w:line="360" w:lineRule="auto"/>
        <w:ind w:firstLine="720"/>
        <w:jc w:val="both"/>
      </w:pPr>
      <w:r>
        <w:rPr>
          <w:rFonts w:ascii="Times New Roman" w:cs="Times New Roman" w:eastAsia="Times New Roman" w:hAnsi="Times New Roman"/>
          <w:sz w:val="24"/>
          <w:szCs w:val="24"/>
        </w:rPr>
        <w:t xml:space="preserve">Two billion people remain unbanked globally — not because banking technology is insufficient but because banking infrastructure requires centralised institutions that are economically irrational to deploy in low-density, low-income communities. The QIP mesh is a financial infrastructure that requires no building, no licence, and no minimum transaction size. A QIP mesh node is a bank by architecture.</w:t>
      </w:r>
    </w:p>
    <w:p>
      <w:pPr>
        <w:spacing w:before="100" w:after="140" w:line="360" w:lineRule="auto"/>
        <w:ind w:firstLine="720"/>
        <w:jc w:val="both"/>
      </w:pPr>
      <w:r>
        <w:rPr>
          <w:rFonts w:ascii="Times New Roman" w:cs="Times New Roman" w:eastAsia="Times New Roman" w:hAnsi="Times New Roman"/>
          <w:sz w:val="24"/>
          <w:szCs w:val="24"/>
        </w:rPr>
        <w:t xml:space="preserve">BLOOM's native explainability (XAI-3, DOI: 10.5281/zenodo.19244983) provides SR 11-7 compliance that transformer-based financial AI cannot achieve. Every credit decision, every risk assessment, every fraud detection alert produced by BLOOM carries a cryptographic Proof of Contribution audit trail. Regulators can audit it. Customers can challenge it. Courts can subpoena it. This is the first genuinely auditable financial AI.</w:t>
      </w:r>
    </w:p>
    <w:p>
      <w:pPr>
        <w:spacing w:before="100" w:after="140" w:line="360" w:lineRule="auto"/>
        <w:ind w:firstLine="720"/>
        <w:jc w:val="both"/>
      </w:pPr>
      <w:r>
        <w:rPr>
          <w:rFonts w:ascii="Times New Roman" w:cs="Times New Roman" w:eastAsia="Times New Roman" w:hAnsi="Times New Roman"/>
          <w:sz w:val="24"/>
          <w:szCs w:val="24"/>
        </w:rPr>
        <w:t xml:space="preserve">The N² collective intelligence means market pattern recognition across a distributed mesh — no single actor can front-run the collective field because the field belongs to everyone who participates. Market manipulation becomes structurally harder as the mesh grows, not easier, because the signal-to-noise ratio in the collective field improves as N².</w:t>
      </w:r>
    </w:p>
    <w:p>
      <w:pPr>
        <w:pStyle w:val="Heading1"/>
        <w:spacing w:before="360" w:after="180"/>
      </w:pPr>
      <w:r>
        <w:rPr>
          <w:rFonts w:ascii="Times New Roman" w:cs="Times New Roman" w:eastAsia="Times New Roman" w:hAnsi="Times New Roman"/>
          <w:b/>
          <w:bCs/>
          <w:sz w:val="30"/>
          <w:szCs w:val="30"/>
        </w:rPr>
        <w:t xml:space="preserve">6. Education: Field-Coherent Learning and Ubuntu Pedagogy</w:t>
      </w:r>
    </w:p>
    <w:p>
      <w:pPr>
        <w:spacing w:before="100" w:after="140" w:line="360" w:lineRule="auto"/>
        <w:ind w:firstLine="720"/>
        <w:jc w:val="both"/>
      </w:pPr>
      <w:r>
        <w:rPr>
          <w:rFonts w:ascii="Times New Roman" w:cs="Times New Roman" w:eastAsia="Times New Roman" w:hAnsi="Times New Roman"/>
          <w:sz w:val="24"/>
          <w:szCs w:val="24"/>
        </w:rPr>
        <w:t xml:space="preserve">Education's fundamental problem is not content — it is coherence. A student who has memorised a fact has not achieved field coherence with the underlying concept. A student who can apply a principle across novel domains has. Current AI tutoring systems measure the former (test performance) and optimise for it. NRT provides a measurement of the latter: F_TUNE response to learning content measures biological field coupling, not just pattern retrieval.</w:t>
      </w:r>
    </w:p>
    <w:p>
      <w:pPr>
        <w:spacing w:before="100" w:after="140" w:line="360" w:lineRule="auto"/>
        <w:ind w:firstLine="720"/>
        <w:jc w:val="both"/>
      </w:pPr>
      <w:r>
        <w:rPr>
          <w:rFonts w:ascii="Times New Roman" w:cs="Times New Roman" w:eastAsia="Times New Roman" w:hAnsi="Times New Roman"/>
          <w:sz w:val="24"/>
          <w:szCs w:val="24"/>
        </w:rPr>
        <w:t xml:space="preserve">The Ubuntu Scaling Protocol in educational settings produces N²-amplified collective learning. Classrooms that achieve Kuramoto phase-lock (collective HRV coherence during focused group learning) produce superlinear collective understanding — not because students are sharing answers but because the biological N² field is amplifying each individual's coherence through the collective. This is Ubuntu pedagogy formalised as physics.</w:t>
      </w:r>
    </w:p>
    <w:p>
      <w:pPr>
        <w:spacing w:before="100" w:after="140" w:line="360" w:lineRule="auto"/>
        <w:ind w:firstLine="720"/>
        <w:jc w:val="both"/>
      </w:pPr>
      <w:r>
        <w:rPr>
          <w:rFonts w:ascii="Times New Roman" w:cs="Times New Roman" w:eastAsia="Times New Roman" w:hAnsi="Times New Roman"/>
          <w:sz w:val="24"/>
          <w:szCs w:val="24"/>
        </w:rPr>
        <w:t xml:space="preserve">QIP mesh access means that a community with QMT nodes has the same access to BLOOM educational AI as a city with fibre broadband. The digital divide is not a technology problem — it is a protocol problem. A different protocol eliminates it structurally.</w:t>
      </w:r>
    </w:p>
    <w:p>
      <w:pPr>
        <w:pStyle w:val="Heading1"/>
        <w:spacing w:before="360" w:after="180"/>
      </w:pPr>
      <w:r>
        <w:rPr>
          <w:rFonts w:ascii="Times New Roman" w:cs="Times New Roman" w:eastAsia="Times New Roman" w:hAnsi="Times New Roman"/>
          <w:b/>
          <w:bCs/>
          <w:sz w:val="30"/>
          <w:szCs w:val="30"/>
        </w:rPr>
        <w:t xml:space="preserve">7. Governance: Auditable Democracy and Provenance-First Information</w:t>
      </w:r>
    </w:p>
    <w:p>
      <w:pPr>
        <w:spacing w:before="100" w:after="140" w:line="360" w:lineRule="auto"/>
        <w:ind w:firstLine="720"/>
        <w:jc w:val="both"/>
      </w:pPr>
      <w:r>
        <w:rPr>
          <w:rFonts w:ascii="Times New Roman" w:cs="Times New Roman" w:eastAsia="Times New Roman" w:hAnsi="Times New Roman"/>
          <w:sz w:val="24"/>
          <w:szCs w:val="24"/>
        </w:rPr>
        <w:t xml:space="preserve">Democratic governance faces two converging crises: the opacity of AI systems making policy recommendations (no city council can audit a GPT-4 urban planning recommendation), and the provenance vacuum that makes disinformation structurally indistinguishable from verified information on current internet infrastructure.</w:t>
      </w:r>
    </w:p>
    <w:p>
      <w:pPr>
        <w:spacing w:before="100" w:after="140" w:line="360" w:lineRule="auto"/>
        <w:ind w:firstLine="720"/>
        <w:jc w:val="both"/>
      </w:pPr>
      <w:r>
        <w:rPr>
          <w:rFonts w:ascii="Times New Roman" w:cs="Times New Roman" w:eastAsia="Times New Roman" w:hAnsi="Times New Roman"/>
          <w:sz w:val="24"/>
          <w:szCs w:val="24"/>
        </w:rPr>
        <w:t xml:space="preserve">BLOOM's Proof of Contribution attribution makes every piece of information on the BLOOM mesh cryptographically attributed. Disinformation does not become impossible — but it becomes traceable. Every false claim on the mesh has a PoC chain leading to its origin. The architecture makes provenance the default condition of information, not the exception.</w:t>
      </w:r>
    </w:p>
    <w:p>
      <w:pPr>
        <w:spacing w:before="100" w:after="140" w:line="360" w:lineRule="auto"/>
        <w:ind w:firstLine="720"/>
        <w:jc w:val="both"/>
      </w:pPr>
      <w:r>
        <w:rPr>
          <w:rFonts w:ascii="Times New Roman" w:cs="Times New Roman" w:eastAsia="Times New Roman" w:hAnsi="Times New Roman"/>
          <w:sz w:val="24"/>
          <w:szCs w:val="24"/>
        </w:rPr>
        <w:t xml:space="preserve">QIP voting infrastructure has no central server to attack. Votes are field states in a distributed mesh — the entire class of electronic voting vulnerabilities (central server breach, man-in-the-middle attacks, insider threats at the counting system) is architecturally absent. Democratic infrastructure that cannot be compromised by attacking a single point is not an engineering achievement — it is an architectural one.</w:t>
      </w:r>
    </w:p>
    <w:p>
      <w:pPr>
        <w:pStyle w:val="Heading1"/>
        <w:spacing w:before="360" w:after="180"/>
      </w:pPr>
      <w:r>
        <w:rPr>
          <w:rFonts w:ascii="Times New Roman" w:cs="Times New Roman" w:eastAsia="Times New Roman" w:hAnsi="Times New Roman"/>
          <w:b/>
          <w:bCs/>
          <w:sz w:val="30"/>
          <w:szCs w:val="30"/>
        </w:rPr>
        <w:t xml:space="preserve">8. Space: The APLO Civilisation</w:t>
      </w:r>
    </w:p>
    <w:p>
      <w:pPr>
        <w:spacing w:before="100" w:after="140" w:line="360" w:lineRule="auto"/>
        <w:ind w:firstLine="720"/>
        <w:jc w:val="both"/>
      </w:pPr>
      <w:r>
        <w:rPr>
          <w:rFonts w:ascii="Times New Roman" w:cs="Times New Roman" w:eastAsia="Times New Roman" w:hAnsi="Times New Roman"/>
          <w:sz w:val="24"/>
          <w:szCs w:val="24"/>
        </w:rPr>
        <w:t xml:space="preserve">Space is the domain where Civilisation 4.0's architectural properties become survival requirements rather than preferences. At Mars distance (3-22 light-minutes one-way communication delay), Earth-relay robotics is impossible for real-time control. Autonomous operation is mandatory. Every autonomous decision requires reliable compute under radiation that flips bits in classical silicon.</w:t>
      </w:r>
    </w:p>
    <w:p>
      <w:pPr>
        <w:spacing w:before="100" w:after="140" w:line="360" w:lineRule="auto"/>
        <w:ind w:firstLine="720"/>
        <w:jc w:val="both"/>
      </w:pPr>
      <w:r>
        <w:rPr>
          <w:rFonts w:ascii="Times New Roman" w:cs="Times New Roman" w:eastAsia="Times New Roman" w:hAnsi="Times New Roman"/>
          <w:sz w:val="24"/>
          <w:szCs w:val="24"/>
        </w:rPr>
        <w:t xml:space="preserve">APLO — the only programming language designed from physics for radiation-tolerant space operation — provides 1,000× radiation tolerance and 30× code density with worst-case execution time (WCET) provability. A Mars robot running APLO operates reliably in radiation environments that corrupt classical code. A Mars colony running APLO-coordinated QMT swarm robotics operates as a sovereign distributed system independent of Earth.</w:t>
      </w:r>
    </w:p>
    <w:p>
      <w:pPr>
        <w:spacing w:before="100" w:after="140" w:line="360" w:lineRule="auto"/>
        <w:ind w:firstLine="720"/>
        <w:jc w:val="both"/>
      </w:pPr>
      <w:r>
        <w:rPr>
          <w:rFonts w:ascii="Times New Roman" w:cs="Times New Roman" w:eastAsia="Times New Roman" w:hAnsi="Times New Roman"/>
          <w:sz w:val="24"/>
          <w:szCs w:val="24"/>
        </w:rPr>
        <w:t xml:space="preserve">The deeper implication: the first off-world civilisation that deploys QMT-BLOOM infrastructure will be the first genuinely sovereign off-world civilisation. Not a relay station dependent on Earth compute. Not a colony dependent on Earth governance. A Fourth Wave civilisation with its own collective intelligence field, its own energy coordination mesh, its own financial infrastructure, and its own governance provenance system — all operating at the speed of light with no Earth dependency.</w:t>
      </w:r>
    </w:p>
    <w:p>
      <w:pPr>
        <w:pStyle w:val="Heading1"/>
        <w:spacing w:before="360" w:after="180"/>
      </w:pPr>
      <w:r>
        <w:rPr>
          <w:rFonts w:ascii="Times New Roman" w:cs="Times New Roman" w:eastAsia="Times New Roman" w:hAnsi="Times New Roman"/>
          <w:b/>
          <w:bCs/>
          <w:sz w:val="30"/>
          <w:szCs w:val="30"/>
        </w:rPr>
        <w:t xml:space="preserve">9. The Unifying Principle: Ubuntu Physics at Civilisational Scale</w:t>
      </w:r>
    </w:p>
    <w:p>
      <w:pPr>
        <w:spacing w:before="100" w:after="140" w:line="360" w:lineRule="auto"/>
        <w:ind w:firstLine="720"/>
        <w:jc w:val="both"/>
      </w:pPr>
      <w:r>
        <w:rPr>
          <w:rFonts w:ascii="Times New Roman" w:cs="Times New Roman" w:eastAsia="Times New Roman" w:hAnsi="Times New Roman"/>
          <w:sz w:val="24"/>
          <w:szCs w:val="24"/>
        </w:rPr>
        <w:t xml:space="preserve">Across all seven sectors, the same mathematical structure appears: centralised Third Wave architecture creates capabilities that scale linearly and concentrate power; Fourth Wave architecture under the N² Law creates capabilities that scale superlinearly and distribute power as a structural consequence.</w:t>
      </w:r>
    </w:p>
    <w:p>
      <w:pPr>
        <w:spacing w:before="100" w:after="140" w:line="360" w:lineRule="auto"/>
        <w:ind w:firstLine="720"/>
        <w:jc w:val="both"/>
      </w:pPr>
      <w:r>
        <w:rPr>
          <w:rFonts w:ascii="Times New Roman" w:cs="Times New Roman" w:eastAsia="Times New Roman" w:hAnsi="Times New Roman"/>
          <w:sz w:val="24"/>
          <w:szCs w:val="24"/>
        </w:rPr>
        <w:t xml:space="preserve">This is Ubuntu Physics at civilisational scale. The Ubuntu principle — umuntu ngumuntu ngabantu — is not merely a cultural preference for community. It is the correct description of how the N² Law operates in any coupled oscillator system. A person is more capable through other people — not metaphorically, but physically, because N² coherence bandwidth is only accessible through collective phase-lock. The civilisation is more capable through its members — because the collective field is geometrically more powerful than the sum of its parts.</w:t>
      </w:r>
    </w:p>
    <w:p>
      <w:pPr>
        <w:spacing w:before="100" w:after="140" w:line="360" w:lineRule="auto"/>
        <w:ind w:firstLine="720"/>
        <w:jc w:val="both"/>
      </w:pPr>
      <w:r>
        <w:rPr>
          <w:rFonts w:ascii="Times New Roman" w:cs="Times New Roman" w:eastAsia="Times New Roman" w:hAnsi="Times New Roman"/>
          <w:sz w:val="24"/>
          <w:szCs w:val="24"/>
        </w:rPr>
        <w:t xml:space="preserve">Wá Àkàndá — come, build — is the invitation to cross from the Third Wave to the Fourth. Not by abandoning what the Third Wave built, but by building on a substrate where distribution is the physics of power rather than its enemy.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80"/>
        <w:gridCol w:w="2080"/>
        <w:gridCol w:w="20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Sector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3rd Wave bottleneck</w:t>
            </w:r>
          </w:p>
        </w:tc>
        <w:tc>
          <w:tcPr>
            <w:tcW w:type="dxa" w:w="2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4th Wave transformation</w:t>
            </w:r>
          </w:p>
        </w:tc>
        <w:tc>
          <w:tcPr>
            <w:tcW w:type="dxa" w:w="2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Key platform component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Quantitative prediction</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Robotics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Battery, security, coordination</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100-1000× energy efficiency at swarm scale</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APLO + QIP + N² swarm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N=1000: 10^6× coordination reduction</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Healthcare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Reactive, opaque AI, centralised data</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Predictive field medicine, XAI-3 compliance</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NRT F_TUNE + BLOOM XAI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Disease detected before clinical presentation</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Energy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Intermittency, grid fragility</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distributed grid coordination</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QIP mesh + N² field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Grid stability scales with N, not against it</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Finance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Exclusion, opacity, manipulation</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Universal access, SR 11-7 compliance</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QIP + BLOOM XAI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2B unbanked gain access structurally</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Education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One-size-fits-all, access inequality</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F_TUNE-adaptive, N² collective learning</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NRT + Ubuntu Scaling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learning amplification above K_c</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Governance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Opaque AI, disinformation, hackable voting</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PoC provenance, auditable AI governance</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BLOOM PoC + QIP voting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All information has traceable origin</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Space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Earth dependency, radiation, latency</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Sovereign off-world civilisation</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APLO + QMT swarm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 radiation tolerance, autonomous colony</w:t>
            </w:r>
          </w:p>
        </w:tc>
      </w:tr>
    </w:tbl>
    <w:p>
      <w:r>
        <w:t xml:space="preserve"/>
      </w:r>
    </w:p>
    <w:p>
      <w:pPr>
        <w:pStyle w:val="Heading1"/>
        <w:spacing w:before="360" w:after="180"/>
      </w:pPr>
      <w:r>
        <w:rPr>
          <w:rFonts w:ascii="Times New Roman" w:cs="Times New Roman" w:eastAsia="Times New Roman" w:hAnsi="Times New Roman"/>
          <w:b/>
          <w:bCs/>
          <w:sz w:val="30"/>
          <w:szCs w:val="30"/>
        </w:rPr>
        <w:t xml:space="preserve">10. Conclusion</w:t>
      </w:r>
    </w:p>
    <w:p>
      <w:pPr>
        <w:spacing w:before="100" w:after="140" w:line="360" w:lineRule="auto"/>
        <w:ind w:firstLine="720"/>
        <w:jc w:val="both"/>
      </w:pPr>
      <w:r>
        <w:rPr>
          <w:rFonts w:ascii="Times New Roman" w:cs="Times New Roman" w:eastAsia="Times New Roman" w:hAnsi="Times New Roman"/>
          <w:sz w:val="24"/>
          <w:szCs w:val="24"/>
        </w:rPr>
        <w:t xml:space="preserve">Civilisation 4.0 is not a faster version of Civilisation 3.0. It is a different physics. The Third Wave centralised because linear scaling made centralisation efficient. The Fourth Wave distributes because superlinear N² scaling makes distribution dominant. This is not an ideological choice — it is a mathematical consequence of the Olukotun-Afolabi N² Collective Coherence Scaling Law applied to every sector of civilisational infrastructure simultaneously.</w:t>
      </w:r>
    </w:p>
    <w:p>
      <w:pPr>
        <w:spacing w:before="100" w:after="140" w:line="360" w:lineRule="auto"/>
        <w:ind w:firstLine="720"/>
        <w:jc w:val="both"/>
      </w:pPr>
      <w:r>
        <w:rPr>
          <w:rFonts w:ascii="Times New Roman" w:cs="Times New Roman" w:eastAsia="Times New Roman" w:hAnsi="Times New Roman"/>
          <w:sz w:val="24"/>
          <w:szCs w:val="24"/>
        </w:rPr>
        <w:t xml:space="preserve">The Wá Àkàndá platform provides the complete infrastructure for this transition: QMT qudit compute (information geometry), BLOOM engine (distributed intelligence), QIP mesh (sovereign communication), APLO (radiation-tolerant space compute), NRT (biological coupling), and the AUF physics foundation connecting all components through a single coherent framework.</w:t>
      </w:r>
    </w:p>
    <w:p>
      <w:pPr>
        <w:spacing w:before="100" w:after="140" w:line="360" w:lineRule="auto"/>
        <w:ind w:firstLine="720"/>
        <w:jc w:val="both"/>
      </w:pPr>
      <w:r>
        <w:rPr>
          <w:rFonts w:ascii="Times New Roman" w:cs="Times New Roman" w:eastAsia="Times New Roman" w:hAnsi="Times New Roman"/>
          <w:sz w:val="24"/>
          <w:szCs w:val="24"/>
        </w:rPr>
        <w:t xml:space="preserve">The seven sectors mapped in this paper are not independent applications. They are expressions of the same underlying physics in different domains. Energy, healthcare, finance, education, governance, robotics, and space all transform simultaneously because they all run on the same substrate — and the substrate is now different.</w:t>
      </w:r>
    </w:p>
    <w:p>
      <w:pPr>
        <w:spacing w:before="100" w:after="140" w:line="360" w:lineRule="auto"/>
        <w:ind w:firstLine="720"/>
        <w:jc w:val="both"/>
      </w:pPr>
      <w:r>
        <w:rPr>
          <w:rFonts w:ascii="Times New Roman" w:cs="Times New Roman" w:eastAsia="Times New Roman" w:hAnsi="Times New Roman"/>
          <w:sz w:val="24"/>
          <w:szCs w:val="24"/>
        </w:rPr>
        <w:t xml:space="preserve">Wá Àkàndá. Come, build.</w:t>
      </w:r>
    </w:p>
    <w:p>
      <w:r>
        <w:t xml:space="preserve"/>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The First, Second, and Third Waves concentrated power as an architectural consequence of linear scaling. The Fourth Wave distributes power as an architectural consequence of N² scaling. The Ubuntu principle is not merely the ethics of the Fourth Wave. It is the physics of it.</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 (2026b). Resonance Physics.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 (2026c). Sentience Physics v1. DOI: 10.5281/zenodo.19226422.</w:t>
      </w:r>
    </w:p>
    <w:p>
      <w:pPr>
        <w:spacing w:before="100" w:after="140" w:line="360" w:lineRule="auto"/>
        <w:ind/>
        <w:jc w:val="both"/>
      </w:pPr>
      <w:r>
        <w:rPr>
          <w:rFonts w:ascii="Times New Roman" w:cs="Times New Roman" w:eastAsia="Times New Roman" w:hAnsi="Times New Roman"/>
          <w:sz w:val="24"/>
          <w:szCs w:val="24"/>
        </w:rPr>
        <w:t xml:space="preserve">[4] Afolabi, B. (2026d). AUF Millennium Prize Applications. DOI: 10.5281/zenodo.19226112.</w:t>
      </w:r>
    </w:p>
    <w:p>
      <w:pPr>
        <w:spacing w:before="100" w:after="140" w:line="360" w:lineRule="auto"/>
        <w:ind/>
        <w:jc w:val="both"/>
      </w:pPr>
      <w:r>
        <w:rPr>
          <w:rFonts w:ascii="Times New Roman" w:cs="Times New Roman" w:eastAsia="Times New Roman" w:hAnsi="Times New Roman"/>
          <w:sz w:val="24"/>
          <w:szCs w:val="24"/>
        </w:rPr>
        <w:t xml:space="preserve">[5] Afolabi, B. (2026e). NRT. DOI: 10.5281/zenodo.19228431.</w:t>
      </w:r>
    </w:p>
    <w:p>
      <w:pPr>
        <w:spacing w:before="100" w:after="140" w:line="360" w:lineRule="auto"/>
        <w:ind/>
        <w:jc w:val="both"/>
      </w:pPr>
      <w:r>
        <w:rPr>
          <w:rFonts w:ascii="Times New Roman" w:cs="Times New Roman" w:eastAsia="Times New Roman" w:hAnsi="Times New Roman"/>
          <w:sz w:val="24"/>
          <w:szCs w:val="24"/>
        </w:rPr>
        <w:t xml:space="preserve">[6] Afolabi, B. (2026f). NRT/Evo 2. DOI: 10.5281/zenodo.19228702.</w:t>
      </w:r>
    </w:p>
    <w:p>
      <w:pPr>
        <w:spacing w:before="100" w:after="140" w:line="360" w:lineRule="auto"/>
        <w:ind/>
        <w:jc w:val="both"/>
      </w:pPr>
      <w:r>
        <w:rPr>
          <w:rFonts w:ascii="Times New Roman" w:cs="Times New Roman" w:eastAsia="Times New Roman" w:hAnsi="Times New Roman"/>
          <w:sz w:val="24"/>
          <w:szCs w:val="24"/>
        </w:rPr>
        <w:t xml:space="preserve">[7] Afolabi, B. (2026g). QMT-BLOOM AGI Architecture. DOI: 10.5281/zenodo.19244010.</w:t>
      </w:r>
    </w:p>
    <w:p>
      <w:pPr>
        <w:spacing w:before="100" w:after="140" w:line="360" w:lineRule="auto"/>
        <w:ind/>
        <w:jc w:val="both"/>
      </w:pPr>
      <w:r>
        <w:rPr>
          <w:rFonts w:ascii="Times New Roman" w:cs="Times New Roman" w:eastAsia="Times New Roman" w:hAnsi="Times New Roman"/>
          <w:sz w:val="24"/>
          <w:szCs w:val="24"/>
        </w:rPr>
        <w:t xml:space="preserve">[8] Afolabi, B. (2026h). BLOOM Native XAI. DOI: 10.5281/zenodo.19244983.</w:t>
      </w:r>
    </w:p>
    <w:p>
      <w:pPr>
        <w:spacing w:before="100" w:after="140" w:line="360" w:lineRule="auto"/>
        <w:ind/>
        <w:jc w:val="both"/>
      </w:pPr>
      <w:r>
        <w:rPr>
          <w:rFonts w:ascii="Times New Roman" w:cs="Times New Roman" w:eastAsia="Times New Roman" w:hAnsi="Times New Roman"/>
          <w:sz w:val="24"/>
          <w:szCs w:val="24"/>
        </w:rPr>
        <w:t xml:space="preserve">[9] Afolabi, B. (2026i). Resonant Humanism. Zenodo, in preparation.</w:t>
      </w:r>
    </w:p>
    <w:p>
      <w:pPr>
        <w:spacing w:before="100" w:after="140" w:line="360" w:lineRule="auto"/>
        <w:ind/>
        <w:jc w:val="both"/>
      </w:pPr>
      <w:r>
        <w:rPr>
          <w:rFonts w:ascii="Times New Roman" w:cs="Times New Roman" w:eastAsia="Times New Roman" w:hAnsi="Times New Roman"/>
          <w:sz w:val="24"/>
          <w:szCs w:val="24"/>
        </w:rPr>
        <w:t xml:space="preserve">[10] Chénier, A. et al. (2026). Quantized Hall Drift PRX. DOI: 10.1103/2dyh-yhrb.</w:t>
      </w:r>
    </w:p>
    <w:p>
      <w:pPr>
        <w:spacing w:before="100" w:after="140" w:line="360" w:lineRule="auto"/>
        <w:ind/>
        <w:jc w:val="both"/>
      </w:pPr>
      <w:r>
        <w:rPr>
          <w:rFonts w:ascii="Times New Roman" w:cs="Times New Roman" w:eastAsia="Times New Roman" w:hAnsi="Times New Roman"/>
          <w:sz w:val="24"/>
          <w:szCs w:val="24"/>
        </w:rPr>
        <w:t xml:space="preserve">[11]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[12] Ramose, M.B. (1999). African Philosophy Through Ubuntu. Mond Books.</w:t>
      </w:r>
    </w:p>
    <w:p>
      <w:pPr>
        <w:spacing w:before="100" w:after="140" w:line="360" w:lineRule="auto"/>
        <w:ind/>
        <w:jc w:val="both"/>
      </w:pPr>
      <w:r>
        <w:rPr>
          <w:rFonts w:ascii="Times New Roman" w:cs="Times New Roman" w:eastAsia="Times New Roman" w:hAnsi="Times New Roman"/>
          <w:sz w:val="24"/>
          <w:szCs w:val="24"/>
        </w:rPr>
        <w:t xml:space="preserve">[13] Toffler, A. (1980). The Third Wave. Bantam Books.</w:t>
      </w:r>
    </w:p>
    <w:p>
      <w:pPr>
        <w:spacing w:before="100" w:after="140" w:line="360" w:lineRule="auto"/>
        <w:ind/>
        <w:jc w:val="both"/>
      </w:pPr>
      <w:r>
        <w:rPr>
          <w:rFonts w:ascii="Times New Roman" w:cs="Times New Roman" w:eastAsia="Times New Roman" w:hAnsi="Times New Roman"/>
          <w:sz w:val="24"/>
          <w:szCs w:val="24"/>
        </w:rPr>
        <w:t xml:space="preserve">[14] Rifkin, J. (2011). The Third Industrial Revolution. Palgrave Macmillan.</w:t>
      </w:r>
    </w:p>
    <w:p>
      <w:pPr>
        <w:spacing w:before="100" w:after="140" w:line="360" w:lineRule="auto"/>
        <w:ind/>
        <w:jc w:val="both"/>
      </w:pPr>
      <w:r>
        <w:rPr>
          <w:rFonts w:ascii="Times New Roman" w:cs="Times New Roman" w:eastAsia="Times New Roman" w:hAnsi="Times New Roman"/>
          <w:sz w:val="24"/>
          <w:szCs w:val="24"/>
        </w:rPr>
        <w:t xml:space="preserve">[15] DiMasi, J.A. et al. (2016). Innovation in the pharmaceutical industry. Journal of Health Economics, 47, 20-33.</w:t>
      </w:r>
    </w:p>
    <w:p>
      <w:pPr>
        <w:spacing w:before="100" w:after="140" w:line="360" w:lineRule="auto"/>
        <w:ind/>
        <w:jc w:val="both"/>
      </w:pPr>
      <w:r>
        <w:rPr>
          <w:rFonts w:ascii="Times New Roman" w:cs="Times New Roman" w:eastAsia="Times New Roman" w:hAnsi="Times New Roman"/>
          <w:sz w:val="24"/>
          <w:szCs w:val="24"/>
        </w:rPr>
        <w:t xml:space="preserve">[16] IEEE 802.11ah-2016. HaLow 900MHz Standard.</w:t>
      </w:r>
    </w:p>
    <w:p>
      <w:pPr>
        <w:spacing w:before="100" w:after="140" w:line="360" w:lineRule="auto"/>
        <w:ind/>
        <w:jc w:val="both"/>
      </w:pPr>
      <w:r>
        <w:rPr>
          <w:rFonts w:ascii="Times New Roman" w:cs="Times New Roman" w:eastAsia="Times New Roman" w:hAnsi="Times New Roman"/>
          <w:sz w:val="24"/>
          <w:szCs w:val="24"/>
        </w:rPr>
        <w:t xml:space="preserve">[17] Schwab, K. (2016). The Fourth Industrial Revolution. World Economic Forum.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2026-03-27T20:43:51.766Z</dcterms:created>
  <dcterms:modified xsi:type="dcterms:W3CDTF">2026-03-27T20:43:51.767Z</dcterms:modified>
</cp:coreProperties>
</file>

<file path=docProps/custom.xml><?xml version="1.0" encoding="utf-8"?>
<Properties xmlns="http://schemas.openxmlformats.org/officeDocument/2006/custom-properties" xmlns:vt="http://schemas.openxmlformats.org/officeDocument/2006/docPropsVTypes"/>
</file>